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897 vom 27. September 2021</w:t>
      </w:r>
    </w:p>
    <w:p>
      <w:r>
        <w:t>VD Tribunal cantonal, 2021-09-27, FR</w:t>
      </w:r>
    </w:p>
    <w:p>
      <w:r>
        <w:rPr>
          <w:b/>
        </w:rPr>
        <w:t xml:space="preserve">Quelle: </w:t>
      </w:r>
      <w:r>
        <w:t>https://mcp.opencaselaw.ch/entscheid/vd_findinfo_D_cision___2021___897</w:t>
      </w:r>
    </w:p>
    <w:p>
      <w:r>
        <w:t>FR: VD_FINDINFO Décision / 2021 / 897 du 27 septembre 2021</w:t>
      </w:r>
    </w:p>
    <w:p>
      <w:r>
        <w:t>IT: VD_FINDINFO Décision / 2021 / 897 del 27 settembre 2021</w:t>
      </w:r>
    </w:p>
    <w:p>
      <w:pPr>
        <w:pStyle w:val="Heading2"/>
      </w:pPr>
      <w:r>
        <w:t>Regeste</w:t>
      </w:r>
    </w:p>
    <w:p>
      <w:r>
        <w:t>DÉCISION D'IRRECEVABILITÉ, ORDONNANCE PÉNALE, OPPOSITION{PROCÉDURE}, FORME ÉCRITE, SIGNATURE, IDENTITÉ | 110 CPP (CH), 396 al. 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CPP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rPr>
          <w:b/>
        </w:rPr>
        <w:t>E. 1.2</w:t>
      </w:r>
    </w:p>
    <w:p>
      <w:r>
        <w:t>En l’espèce, le recours a été déposé en temps utile auprès de l’autorité compétente, par l’avocat Z.________, prétendant agir au nom d’« O.________ alias « [...] », numéro AFIS [...] ». Il convient d’abord d’examiner si le dépôt du recours respecte les exigences de la forme écrite posées par l’art. 396 al. 1 CPP.</w:t>
      </w:r>
    </w:p>
    <w:p>
      <w:r>
        <w:rPr>
          <w:b/>
        </w:rPr>
        <w:t>E. 2.1.1</w:t>
      </w:r>
    </w:p>
    <w:p>
      <w:r>
        <w:t>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 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 2.4 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w:t>
      </w:r>
    </w:p>
    <w:p>
      <w:r>
        <w:rPr>
          <w:b/>
        </w:rPr>
        <w:t>E. 2.1.2</w:t>
      </w:r>
    </w:p>
    <w:p>
      <w:r>
        <w:t>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w:t>
      </w:r>
    </w:p>
    <w:p>
      <w:r>
        <w:rPr>
          <w:b/>
        </w:rPr>
        <w:t>E. 2.1.3</w:t>
      </w:r>
    </w:p>
    <w:p>
      <w:r>
        <w:t>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w:t>
      </w:r>
    </w:p>
    <w:p>
      <w:r>
        <w:rPr>
          <w:b/>
        </w:rPr>
        <w:t>E. 2.2.1</w:t>
      </w:r>
    </w:p>
    <w:p>
      <w:r>
        <w:t>En l’espèce, le recours n’est pas muni de la signature manuscrite de la partie visée par l’ordonnance pénale et qui prétend avoir fait opposition à celle-ci, mais seulement de celle de Me Z.________. En outre, s’il figure au dossier une procuration conférée à Me Z.________, celle-ci comporte une signature correspondant au pseudonyme « [...] » qui ne permet toutefois pas d’identifier le prévenu. Et pour cause, puisque, pour qu’une signature en bonne et due forme figure dossier, il aurait fallu que la personne en cause dévoile son identité et qu’elle appose sa signature sur une procuration, ce qui aurait permis à la direction de la procédure de vérifier, au moyen des papiers d’identité de cette personne, qu’il s’agissait bien de sa signature. Or, la partie visée par l’ordonnance pénale refuse précisément de dévoiler son identité et de fournir ses papiers d’identité. Au vu de ce qui précède, il faut en conclure que le recours n’est signé que par l’avocat Z.________, et que celui-ci n’établit pas être au bénéfice d’un pouvoir de représentation conféré par la partie visée par l’ordonnance pénale, conforme à l’art. 129 al. 2 CPP. Dans la mesure où il ne s’agit pas d’une omission involontaire de l’avocat Z.________, mais d’un choix délibéré, la Chambre de céans n’a pas l’obligation de lui impartir un délai pour que son prétendu mandant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w:t>
      </w:r>
    </w:p>
    <w:p>
      <w:r>
        <w:rPr>
          <w:b/>
        </w:rPr>
        <w:t>E. 2.2.2</w:t>
      </w:r>
    </w:p>
    <w:p>
      <w:r>
        <w:t>Quant à l’argument selon lequel la partie visée par l’ordonnance pénale serait en droit d’utiliser un « alias » plutôt que de dévoiler son identité, il ne trouve appui sur aucune règle du Code de procédure pénale, et l’avocat Z.________ n’en cite aucune. Au demeurant, il convient de relever qu’un numéro d’inconnu, accompagné le cas échéant d’un surnom, tel que celui utilisé par l’avocat Z.________ pour désigner son prétendu client,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 1.3 et TF 6B_110/2013 du 28 mai 2013 consid. 2.3). Il s’ensuit qu’en l’occurrence, le prétendu client de l’avocat Z.________, n’ayant fourni aucune identité, ne peut pas se prévaloir d’un « alias » mais tout au plus d’un surnom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le prétendu client de l’avocat Z.________ ne saurait se prévaloir de son droit au silence pour refuser de révéler son identité et de signer une procuration en bonne et due forme en faveur de son éventuel conseil de choix.</w:t>
      </w:r>
    </w:p>
    <w:p>
      <w:r>
        <w:rPr>
          <w:b/>
        </w:rPr>
        <w:t>E. 2.3</w:t>
      </w:r>
    </w:p>
    <w:p>
      <w:r>
        <w:t>Au vu de ce qui précède, déposé par un représentant sans pouvoir, le recours est irrecevable.</w:t>
      </w:r>
    </w:p>
    <w:p>
      <w:r>
        <w:rPr>
          <w:b/>
        </w:rPr>
        <w:t>E. 3</w:t>
      </w:r>
    </w:p>
    <w:p>
      <w:r>
        <w:t>En définitive, le recours doit être déclaré irrecevable,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de l’avocat Z.________ qui, en tant que « falsus procurator », les a occasionnés (art. 417 et 428 al. 1 in fine CPP ; ATF 129 IV 206 consid. 2 ; TF 1B_371/2015 du 19 janvier 2016 ; TF 4F_15/2008 du 20 novembre 2013 consid. 2.3.3 ; TF 4C_392/2006 du 27 février 2007 consid. 6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 Vu le sort du recours, aucune indemnité ne sera allouée à la personne prétendument représentée par l’avocat Z.________ pour les dépenses occasionnées par la procédure. Par ces motifs, la Chambre des recours pénale prononce : I. Le recours est irrecevable. II. Les frais d’arrêt, par 1’210 fr. (mille deux cent dix francs), sont mis à la charge de Me Z.________. III. L’arrêt est exécutoire. Le président :               La greffière : Du Le présent arrêt, dont la rédaction a été approuvée à huis clos, est notifié, par l'envoi d'une copie complète, à : - Me Z.________, avocat, - Ministère public central, et communiqué à : ‑ M. le Président du Tribunal de police de l’arrondissement de La Côte,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