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896 vom 24. August 2021</w:t>
      </w:r>
    </w:p>
    <w:p>
      <w:r>
        <w:t>VD Tribunal cantonal, 2021-08-24, FR</w:t>
      </w:r>
    </w:p>
    <w:p>
      <w:r>
        <w:rPr>
          <w:b/>
        </w:rPr>
        <w:t xml:space="preserve">Quelle: </w:t>
      </w:r>
      <w:r>
        <w:t>https://mcp.opencaselaw.ch/entscheid/vd_findinfo_D_cision___2021___896</w:t>
      </w:r>
    </w:p>
    <w:p>
      <w:r>
        <w:t>FR: VD_FINDINFO Décision / 2021 / 896 du 24 août 2021</w:t>
      </w:r>
    </w:p>
    <w:p>
      <w:r>
        <w:t>IT: VD_FINDINFO Décision / 2021 / 896 del 24 agosto 2021</w:t>
      </w:r>
    </w:p>
    <w:p>
      <w:pPr>
        <w:pStyle w:val="Heading2"/>
      </w:pPr>
      <w:r>
        <w:t>Regeste</w:t>
      </w:r>
    </w:p>
    <w:p>
      <w:r>
        <w:t>DÉCISION D'IRRECEVABILITÉ, DISPOSITIONS PÉNALES DE LA LCR, ADMISSION DE LA DEMANDE, DÉPENS, FAUTE DU TIERS, FAUTE PROPRE | 49 al. 2 LCR, 90 al. 1 LCR, 47 al. 1 OCR, 5 al. 4 OCR, 310 CPP (CH)</w:t>
      </w:r>
    </w:p>
    <w:p>
      <w:pPr>
        <w:pStyle w:val="Heading2"/>
      </w:pPr>
      <w:r>
        <w:t>Erwägungen</w:t>
      </w:r>
    </w:p>
    <w:p>
      <w:r>
        <w:rPr>
          <w:b/>
        </w:rPr>
        <w:t>E. 1</w:t>
      </w:r>
    </w:p>
    <w:p>
      <w:r>
        <w:t>Interjeté dans le délai légal (art. 322 al. 2 CPP [Code de procédure pénale suisse du 5 octobre 2007; RS 312.0] et 396 al. 1 CPP) contre une ordonnance de classement rendue par le Ministère public (art. 393 al. 1 let. b CPP), le recours est déposé en temps utile; il satisfait en outre aux autres conditions légales (art. 385 al. 1 CPP), de sorte qu’il est recevable en la forme.</w:t>
      </w:r>
    </w:p>
    <w:p>
      <w:r>
        <w:rPr>
          <w:b/>
        </w:rPr>
        <w:t>E. 1.2</w:t>
      </w:r>
    </w:p>
    <w:p>
      <w:r>
        <w:t>Aux termes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La notion de partie visée à l'art. 382 al. 1 CPP doit être comprise au sens des art. 104 et 105 CPP. L'art. 104 al. 1 let. b CPP reconnaît notamment cette qualité à la partie plaignante.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Le lésé qui veut déposer des conclusions civiles doit préalablement s'être constitué partie plaignante par la déclaration expresse prévue à l'art. 118 al. 1 CPP, à défaut de quoi ses conclusions civiles ne seront pas recevables (TF 6B_887/2017 du 8 mars 2018 consid. 6.3 et les réf. citées). La déclaration de constitution de partie plaignante doit être faite devant une autorité de poursuite pénale avant la clôture de la procédure préliminaire (art. 118 al. 3 CPP; cf. art. 299 ss CPP), à savoir avant qu'une décision de classement ou de mise en accusation soit rendue. La constitution de partie plaignante ne peut plus se faire après la clôture de la procédure préliminaire, par exemple lors de la procédure de première instance.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Toutefois,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l'art. 118 al. 4 CPP, le lésé doit être autorisé à se constituer partie plaignante ultérieurement (ibidem).</w:t>
      </w:r>
    </w:p>
    <w:p>
      <w:r>
        <w:rPr>
          <w:b/>
        </w:rPr>
        <w:t>E. 1.3</w:t>
      </w:r>
    </w:p>
    <w:p>
      <w:r>
        <w:t>Selon l’art. 120 al. 1 CPP, le lésé peut en tout temps déclarer par écrit ou oralement qu’il renonce à user des droits qui sont les siens. La déclaration orale est consignée au procès-verbal ; la renonciation est définitive.</w:t>
      </w:r>
    </w:p>
    <w:p>
      <w:r>
        <w:rPr>
          <w:b/>
        </w:rPr>
        <w:t>E. 1.4</w:t>
      </w:r>
    </w:p>
    <w:p>
      <w:r>
        <w:t>En l’espèce, compte tenu de l’infraction ici litigieuse, à savoir celle de lésions corporelles graves par négligence au sens de l’art. 125 al. 2 CP, poursuivie d’office, et des lésions effectivement subies par la recourante, il ne fait aucun doute que cette dernière est lésée au sens de l’art. 115 al. 1 CPP. Or, durant l’enquête, N.________ s’est vu notifier uniquement le formulaire relatif aux droits et aux obligations du prévenu. Le Ministère public aurait donc dû attirer son attention sur son droit de se constituer partie plaignante avant la reddition de l’ordonnance de classement, ce qu’il n’a pas fait. Dans ce contexte, en vertu de l'art. 3 al. 2 let. a CPP, qui prévoit que les autorités pénales se conforment au principe de la bonne foi, d'où il découle que les personnes impliquées dans la procédure ne doivent subir aucun préjudice si l'information due selon la loi ne leur a pas été donnée, la qualité pour recourir de N.________ doit être admise.</w:t>
      </w:r>
    </w:p>
    <w:p>
      <w:r>
        <w:rPr>
          <w:b/>
        </w:rPr>
        <w:t>E. 1.5</w:t>
      </w:r>
    </w:p>
    <w:p>
      <w:r>
        <w:t>Il résulte de ce qui précède qu’il convient d’entrer en matière sur le recours déposé par N.________.</w:t>
      </w:r>
    </w:p>
    <w:p>
      <w:r>
        <w:rPr>
          <w:b/>
        </w:rPr>
        <w:t>E. 2.1</w:t>
      </w:r>
    </w:p>
    <w:p>
      <w:r>
        <w:t>La recourante fait valoir une violation des art. 319 CPP et 125 al. 2 CP.</w:t>
      </w:r>
    </w:p>
    <w:p>
      <w:r>
        <w:rPr>
          <w:b/>
        </w:rPr>
        <w:t>E. 2.2.1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 Celui-ci découle du principe de la légalité (art. 5 al. 1 Cst. et art. 2 al. 2 CPP en relation avec les art. 319 al. 1 et 324 al. 1 CPP;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4.1.2 et les réf. citées; TF 6B_400/2020 du 20 janvier 2021 consid. 3.1; TF 6B_203/2020 du 8 mai 2020 consid. 2.1).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consid. 2 et les réf. citées).</w:t>
      </w:r>
    </w:p>
    <w:p>
      <w:r>
        <w:rPr>
          <w:b/>
        </w:rPr>
        <w:t>E. 2.2.2</w:t>
      </w:r>
    </w:p>
    <w:p>
      <w:r>
        <w:t>Aux termes de l’art. 125 CP (Code pénal du 21 décembre 1937;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 à-dire qu'il faut pouvoir reprocher à l'auteur une inattention ou un manque d'effort blâmable (ATF 135 IV 56 consid. 2.1; ATF 134 IV 255 consid. 4.2.3;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ATF 134 IV 255 consid. 4.2.3). En second lieu, la violation du devoir de prudence doit être fautive, c'est-à-dire qu'il faut pouvoir reprocher à l'auteur une inattention ou un manque d'effort blâmable (ATF 135 IV 56 consid. 2.1; ATF 134 IV 255 consid. 4.2.3 et les références citées). Il faut en outre qu'il existe un rapport de causalité entre la violation fautive du devoir de prudence et les lésions de la victime. Les concepts de causalité naturelle et adéquate ont été rappelés aux ATF 143 III 242 consid. 3.7 et ont notamment été précisés aux ATF 133 IV 158 consid. 6.1 et ATF 131 IV 145 consid. 5, auxquels on peut se référer. Ainsi, lorsqu’il y a violation des règles de la prudence – en l’occurrence de règles de circulation routière – il faut encore se demander si cette violation peut être imputée à faute, c'est-à-dire si l'on peut reprocher à son auteur, compte tenu de ses circonstances personnelles, d'avoir fait preuve d'un manque d'effort blâmable (ATF 135 IV 56 consid. 2.1; ATF 134 IV 255 consid. 4.2.3; ATF 129 IV 119 consid. 2.1). La violation fautive d'un devoir de prudence doit par ailleurs avoir été la cause naturelle et adéquate des lésions subies par la victime (ATF 129 IV 123 consid. 2.4). Un comportement est la cause naturelle d'un résultat s'il en constitue l'une des conditions sine qua non. Il en est en outre la cause adéquate si, d'après le cours ordinaire des choses et l'expérience de la vie, il a été propre à entraîner un résultat du genre de celui qui s'est produit. La causalité adéquate peut cependant être exclue si une cause concomitante, par exemple une force naturelle, le comportement de la victime ou celui d'un tiers, constitue une circonstance tout à fait exceptionnelle ou apparaît si extraordinaire que l'on ne pouvait s'y attendre. Toutefois, l'imprévisibilité d'un acte concurrent ne suffit pas en soi à interrompre le lien de causalité adéquate; il faut encore que cet acte ait une importance telle qu'il s'impose comme étant la cause la plus probable et la plus immédiate de l'événement considéré, reléguant à l'arrière-plan tous les autres facteurs qui ont contribué à l'amener et notamment le comportement de l'auteur (ATF 129 IV 282 consid. 2.1; ATF 127 IV 34 consid. 2a et 2d; ATF 126 IV 13 consid. 7a/bb; ATF 122 IV 17 consid. 2c/bb; ATF 121 IV 207 consid. 2a).</w:t>
      </w:r>
    </w:p>
    <w:p>
      <w:r>
        <w:rPr>
          <w:b/>
        </w:rPr>
        <w:t>E. 2.2.3</w:t>
      </w:r>
    </w:p>
    <w:p>
      <w:r>
        <w:t>L’art. 49 al. 2 LCR (loi fédérale sur la circulation routière du 19 décembre 1958; RS 741.01) impose aux piétons de traverser la chaussée avec prudence et par le plus court chemin en empruntant, où cela est possible, un passage pour piétons, où ils bénéficient de la priorité sur de tels passages, mais ne doivent pas se lancer à l’improviste.</w:t>
      </w:r>
    </w:p>
    <w:p>
      <w:r>
        <w:rPr>
          <w:b/>
        </w:rPr>
        <w:t>E. 2.3</w:t>
      </w:r>
    </w:p>
    <w:p>
      <w:r>
        <w:t>La Procureure a retenu que A.________ avait certes adopté un comportement fautif, constitutif de violation des règles de la circulation routière, pour lequel elle avait fait l’objet d’une ordonnance pénale distincte, mais qu’il n’existait pas de lien de causalité direct entre ce comportement et les graves blessures subies par N.________. En effet, cette dernière avait admis avoir traversé précipitamment la route, en dehors du passage piéton, sans porter attention à l’arrivée d’un éventuel véhicule. Dès lors, il ne serait pas arbitraire de considérer que les lésions graves dont a été victime N.________ résultaient de sa propre erreur, soit le fait de s’engager sur la chaussée sans précaution, et non pas du comportement de A.________. En l’occurrence, on relèvera d’abord que mis à part un rapport succinct de la police, aucune mesure d’instruction n’a été effectuée par le Ministère public. Or le dossier ne contient que très peu de renseignements, notamment sur la configuration des lieux de l’accident. Il semble que la recourante ait traversé une route se trouvant entre la sortie de la Migros du Sentier et un parking, ce qui laisse penser que la conductrice pouvait s’attendre à voir un piéton traverser la chaussée ; à tout le moins le passage d’un piéton sur la chaussée à cet endroit ne semble pas pouvoir être considéré comme un évènement extraordinaire ou inattendu qui serait de nature à rompre le lien de causalité. En outre, de l’aveu même de la prévenue, celle-ci roulait plutôt sur la gauche. Elle était concentrée sur les véhicules qui sortaient du parking et reconnaît n’avoir pas réintégré la voie de droite au moment de l’accident. Or selon les déclarations de A.________ dans de son audition du 19 février 2021, la recourante a traversé de sa droite à sa gauche. Elle était donc bien engagée sur la chaussée lorsque le choc s’est produit. L’intimée qui, selon ses dires, roulait à 20 km/h aurait probablement pu la voir et freiner si elle avait été attentive. On ne se trouve donc pas dans l’hypothèse d’un piéton qui se jette littéralement sous les roues d’une voiture. Il apparaît ainsi que les circonstances de l’accident ne sont pas claires et qu’il convient de les examiner plus précisément, cas échéant par la mise en place d’une reconstitution.</w:t>
      </w:r>
    </w:p>
    <w:p>
      <w:r>
        <w:rPr>
          <w:b/>
        </w:rPr>
        <w:t>E. 3.1</w:t>
      </w:r>
    </w:p>
    <w:p>
      <w:r>
        <w:t>N.________ soutient que sa situation financière ne lui permettrait pas de faire face aux frais de la procédure, ni d’avoir recours à un mandataire de choix et requiert la désignation de Me Nader Ghosn en qualité de conseil juridique gratuit pour la procédure au fond et pour la procédure de recours. Elle fait encore valoir qu’au vu en particulier de son âge et des circonstances particulières du cas d’espèce, elle n’est pas en situation de pouvoir agir seule.</w:t>
      </w:r>
    </w:p>
    <w:p>
      <w:r>
        <w:rPr>
          <w:b/>
        </w:rPr>
        <w:t>E. 3.2.1</w:t>
      </w:r>
    </w:p>
    <w:p>
      <w:r>
        <w:t>Aux termes de l’art. 136 al. 1 CPP (Code de procédure pénale suisse du 5 octobre 2007; RS 312.0),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(Harari/Aliberti, in : Kuhn et alii [éd.], Commentaire romand, Code de procédure pénale suisse, 2e éd., Bâle 2019, n. 30 ad art. 136 CPP, avec renvoi aux nn. 33-35 ad art. 132 CPP). Est considéré comme indigent celui qui ne peut assurer les frais liés à la défense de ses intérêts sans porter atteinte au minimum nécessaire à son entretien ainsi qu’à celui de sa famille (ATF 128 I 225 consid. 2.5.1; ATF 125 IV 161 consid. 4a, JdT 2011 IV 93). L’indigence s’apprécie selon la situation économique du requérant au moment du dépôt de la requête. Il faut tenir compte des obligations financières de ce dernier, de ses revenus et de sa fortune (Moreillon/Parein-Reymond, Code de procédure pénale, Petit commentaire, 2 e éd., Bâle 2016, n. 3 ad art. 136 CPP). Le soutien de la collectivité publique n’est en principe pas dû lorsque la part disponible permet d’amortir les frais d’un procès en une année pour les procès relativement simples, et en deux ans pour les autres (ATF 135 I 221 consid. 5.1).</w:t>
      </w:r>
    </w:p>
    <w:p>
      <w:r>
        <w:rPr>
          <w:b/>
        </w:rPr>
        <w:t>E. 3.2.2</w:t>
      </w:r>
    </w:p>
    <w:p>
      <w:r>
        <w:t>La fortune mobilière et immobilière doit être prise en compte dans l’examen de l’indigence, pour autant qu’elle soit disponible (Colombini, Code de procédure civile – Condensé de la jurisprudence fédérale et vaudoise, 2018, n. 2.4 ad art. 117 CPC, et les références citées). S’agissant de la fortune mobilière, elle comprend les capitaux, titres et objets aisément réalisables, qui ne sont pas nécessaires à l’activité lucrative du requérant et dont on peut aisément attendre qu’ils soient entamés (ATF 123 I 97 consid. 3). Un montant d’économies ou de fortune nette, variant selon les cas de 10'000 fr. à 20'000 fr., voire 25'000 fr, au maximum peut être mis de côté en cas d’insuffisance de revenu sans devoir être considéré comme une ressource à prendre en considération ; ce n’est que s’il est âgé ou malade que le requérant peut prétendre à une « réserve de secours » évaluée entre 20'000 fr. et 40'000 fr. (TF 5P.375/2006 du 18 décembre 2003 consid. 3.4). S’agissant de la fortune immobilière, il y a lieu d’examiner si le propriétaire peut se procurer les moyens nécessaires suffisants en mettant en gage ou en augmentant un crédit hypothécaire existant, voire en aliénant le bien-fonds (ATF 119 Ia 11 consid. 5, JdT 1995 II 58 ; Krieger, Quelques considérations relatives à l'assistance judiciaire en matière civile, in : L'avocat moderne, Bâle 1998, p. 83).</w:t>
      </w:r>
    </w:p>
    <w:p>
      <w:r>
        <w:rPr>
          <w:b/>
        </w:rPr>
        <w:t>E. 3.3</w:t>
      </w:r>
    </w:p>
    <w:p>
      <w:r>
        <w:t>En l’occurrence, on relèvera que la demande d’assistance judiciaire et de conseil juridique gratuit déposée par N.________ porte tant sur la procédure préliminaire que sur la procédure de recours. En l’absence d’une ordonnance formelle du Ministère public sur ce point, la Chambre de céans n’est pas compétente pour statuer sur cette requête en tant qu’elle concerne ce premier point (cf. art. 393 al. 1 a contrario ). Pour le reste, lorsque le recours est admis, les frais de la procédure sont laissés à la charge de l’Etat, qui supporte en outre l’indemnité allouée à la partie recourante sur la base de l’at. 433 CPP. Partant, la requête d’assistance judiciaire de N.________ est sans objet en tant qu’elle porte sur la procédure de recours.</w:t>
      </w:r>
    </w:p>
    <w:p>
      <w:r>
        <w:rPr>
          <w:b/>
        </w:rPr>
        <w:t>E. 4</w:t>
      </w:r>
    </w:p>
    <w:p>
      <w:r>
        <w:t>En définitive, le recours doit être admis et le dossier de la cause doit être renvoyé au Ministère public de l’arrondissement du Nord vaudois pour qu’il complète l’instruction dans le sens des considérants. Vu l’admission du recours, les frais de la procédure, constitués en l’espèce du seul émolument d'arrêt, par 1’430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à une indemnité pour les dépenses occasionnées par la procédure de recours (art. 433 al. 1 let. a CPP). Elle ne quantifie toutefois pas sa prétention. Au vu du mémoire déposé et de la nature de l’affaire, cette indemnité sera fixée à 750 fr., correspondant à 2h30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15 fr., plus la TVA au taux de 7,7 %, par 58 fr. 90, soit à 824 fr. au total en chiffres arrondis. Elle sera laissée à la charge de l’Etat (art. 428 al. 4 CPP). Par ces motifs, la Chambre des recours pénale prononce : I. Le recours est admis. II. L’ordonnance du 8 juin 2021 est annulée. III. Le dossier de la cause est renvoyé au Ministère public de l’arrondissement du Nord vaudois pour qu’il procède dans le sens des considérants. IV. La requête d’assistance judiciaire est sans objet dans la mesure où elle est recevable . V. Les frais d’arrêt, par 1’430 fr. (mille quatre cent trente francs), sont laissés à la charge de l’Etat. VI. Une indemnité de 824 fr. (huit cent vingt-quatre francs) est allouée à N.________ pour les dépenses occasionnées par la procédure de recours, à la charge de l’Etat. VII. L’arrêt est exécutoire. Le président :               La greffière : Du Le présent arrêt, dont la rédaction a été approuvée à huis clos, est notifié, par l'envoi d'une copie complète, à : - Me Nader Ghosn, avocat (pour N.________), - Mme A.________,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