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88 vom 3. Februar 2021</w:t>
      </w:r>
    </w:p>
    <w:p>
      <w:r>
        <w:t>VD Tribunal cantonal, 2021-02-03, FR</w:t>
      </w:r>
    </w:p>
    <w:p>
      <w:r>
        <w:rPr>
          <w:b/>
        </w:rPr>
        <w:t xml:space="preserve">Quelle: </w:t>
      </w:r>
      <w:r>
        <w:t>https://mcp.opencaselaw.ch/entscheid/vd_findinfo_D_cision___2021___88</w:t>
      </w:r>
    </w:p>
    <w:p>
      <w:r>
        <w:t>FR: VD_FINDINFO Décision / 2021 / 88 du 3 février 2021</w:t>
      </w:r>
    </w:p>
    <w:p>
      <w:r>
        <w:t>IT: VD_FINDINFO Décision / 2021 / 88 del 3 febbraio 2021</w:t>
      </w:r>
    </w:p>
    <w:p>
      <w:pPr>
        <w:pStyle w:val="Heading2"/>
      </w:pPr>
      <w:r>
        <w:t>Regeste</w:t>
      </w:r>
    </w:p>
    <w:p>
      <w:r>
        <w:t>DÉTENTION PROVISOIRE, MESURE DE SUBSTITUTION À LA DÉTENTION, ATTEINTE À LA SANTÉ PSYCHIQUE, ÉTABLISSEMENT PSYCHIATRIQUE, PSYCHOTHÉRAPIE, ADMISSION DE LA DEMANDE | 221 al. 1 let. c CPP (CH), 221 al. 2 CPP (CH), 221 CPP (CH), 237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Interjeté dans le délai légal par une détenue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La recourante admet une partie des faits qui lui sont reprochés, en particulier avoir injurié et menacé M.________, avoir mis le feu au lit de ce dernier et s’être munie d’un couteau de cuisine afin de se protéger du prénommé. Elle conteste cependant avoir voulu lui faire du mal et avoir tenté de lui donner des coups de couteau. Elle remet ainsi en cause l’existence de soupçons suffisants de culpabilité, à tout le moins en ce qui concerne l’infraction de tentative de meurtre.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[édit.], Commentaire romand, Code de procédure pénale suisse, 2 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précité ; ATF 124 I 208 consid. 3 ; TF 1B_308/2018 du 17 juillet 2018 consid. 2.1 ; Forster, in : Niggli/Heer/Wiprächtiger [édit.], Basler Kommentar, Schweizerische Strafprozess-ordnung, 2 e éd., Bâle 2014, n. 3 ad art. 221 CPP).</w:t>
      </w:r>
    </w:p>
    <w:p>
      <w:r>
        <w:rPr>
          <w:b/>
        </w:rPr>
        <w:t>E. 3.3</w:t>
      </w:r>
    </w:p>
    <w:p>
      <w:r>
        <w:t>A ce stade, il y a lieu de constater qu’il existe des soupçons sérieux de commission d’une tentative de meurtre. En effet, il ressort du rapport de police que, lors de l’intervention de la police, la prévenue était hystérique, tenait un couteau – dont la lame était d’environ 25 cm – dans la main, qu’elle proférait des menaces de mort à l’égard de M.________ et qu’elle a ensuite tenté à plusieurs reprises d’aller contre ce dernier, alors que la police s’interposait (P. 17 p. 6). Le compagnon de la prévenue a certes déclaré qu’il n’avait pas vu la prévenue faire un geste avec le couteau en direction de M.________ (PV aud. du 19 novembre 2020 ll. 89 s.), mais il n’était pas tout le temps présent et il a aussi indiqué qu’il avait vu la prévenue munie du couteau se diriger vers la chambre du plaignant et qu’il était intervenu pour la calmer ( ibid ., ll. 76-83 et 97.100). Pour le surplus, il appartiendra au juge de fond d’apprécier la crédibilité des déclarations des parties et de déterminer si elle a tenté ou non d’asséner des coups à M.________ avec cette arme. A ce stade de l’enquête, il y a lieu de considérer que les indices de culpabilité de tentative de meurtre sont suffisants. De toute manière, les aveux de la recourante s’agissant des faits constitutifs d’injure, de menaces et d’incendie intentionnel suffisent déjà pour retenir que la première condition de l’art. 221 al. 1 CPP est réalisée.</w:t>
      </w:r>
    </w:p>
    <w:p>
      <w:r>
        <w:rPr>
          <w:b/>
        </w:rPr>
        <w:t>E. 4.1</w:t>
      </w:r>
    </w:p>
    <w:p>
      <w:r>
        <w:t>La recourante conteste l’existence des risques de récidive et de passage à l’acte. Elle allègue que les interventions de la police à son domicile – hormis celle du 16 novembre 2020 pour les faits reprochés – ne concerneraient pas des actes de violence de sa part. De même, le rapport médical du 26 octobre 2020 ne ferait pas état d’actes hétéro-agressifs. Son casier judiciaire serait en outre vierge, hormis une condamnation pour lésions corporelles simples par négligence en raison d’une mauvaise maîtrise de ses chiens. Elle expose également que le plaignant ne serait plus son colocataire, puisqu’il aurait quitté le logement le 1 er janvier 2021 et que le contrat de bail aurait été résilié pour le 31 janvier 2021.</w:t>
      </w:r>
    </w:p>
    <w:p>
      <w:r>
        <w:rPr>
          <w:b/>
        </w:rPr>
        <w:t>E. 4.2.1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1B_3/2019 du 17 janvier 2019 consid. 3.1).</w:t>
      </w:r>
    </w:p>
    <w:p>
      <w:r>
        <w:rPr>
          <w:b/>
        </w:rPr>
        <w:t>E. 4.2.2</w:t>
      </w:r>
    </w:p>
    <w:p>
      <w:r>
        <w:t>L'art. 221 al. 2 CPP permet d'ordonner la détention lorsqu'il y a lieu de craindre un passage à l'acte, même en l'absence de toute infraction préalable. Il doit s'agir d'un crime grave et non seulement d'un délit (ATF 137 IV 122 consid. 5).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JdT 2015 IV 32 ; ATF 137 IV 122 consid. 5). Plus l'infraction redoutée est grave, plus la mise en détention se justifie lorsque les éléments disponibles ne permettent pas une évaluation précise de ce risque (ATF 140 IV 19 consid. 2.1.1 ; TF 1B_193/2020 du 7 mai 2020 consid. 4.1 ; TF 1B_184/2019 du 9 mai 2019 consid. 6.2). La doctrine mentionne expressément que des menaces au sens de l’art. 180 CP (Code pénal suisse du 21 décembre 1937 ; RS 311.0) puissent être déterminantes au sens de l’art. 221 al. 2 CPP (Forster, op. cit., n. 18 ad paginale 77).</w:t>
      </w:r>
    </w:p>
    <w:p>
      <w:r>
        <w:rPr>
          <w:b/>
        </w:rPr>
        <w:t>E. 4.3</w:t>
      </w:r>
    </w:p>
    <w:p>
      <w:r>
        <w:t>En l’espèce, la prévenue présente d’importants troubles psychiques, comme cela ressort du rapport médical du 26 octobre 2020 (P. 20), notamment un trouble mixte de la personnalité (dépendante et émotionnellement labile, de type borderline), une agoraphobie, un trouble dissociatif de conversion mixte, avec des crises d’épilepsie fonctionnelle, un retard mental léger, sans ou avec de minimes troubles du comportement, des troubles mentaux et du comportement liés à la consommation d’alcool (syndrome de dépendance et utilisation épisodique) et des troubles mentaux et du comportement liés à la consommation de sédatifs ou d’hypnotiques (syndrome de dépendance et utilisation continue). Une expertise psychiatrique a en outre été ordonnée dans la présente procédure pénale. Il est également vrai que la police a dû intervenir à plusieurs reprises au domicile de la prévenue, même si, comme celle-ci l’affirme, ces interventions ne sont pas liées à des actes de violence de sa part – hormis celle du 16 novembre 2020 – mais plutôt à ses problèmes psychiatriques (P. 12 à 17). Il n’en demeure pas moins que, dans le cadre des faits faisant l’objet de la présente procédure, elle aurait tenté d’attenter à sa propre vie, se serait battue avec son colocataire (étant précisé que les circonstances de cette altercation doivent encore être établies et qu’un certificat médical atteste notamment d’hématomes sur le corps de la prévenue) et qu’elle aurait ensuite, à tout le moins, menacé M.________ avec un couteau, voire aurait tenté de le tuer. Même si ce dernier semble avoir quitté l’appartement et que le bail a été résilié pour le 31 janvier 2021, on ne peut que considérer, au vu de l’enchaînement des évènements entre les mois d’octobre et de novembre 2020 (cf. P. 12 à 17), que l’existence des risques sérieux de réitération et de passage à l’acte à l’égard du plaignant, voire de toute autre personne avec laquelle la prévenue serait en conflit, est établie. Il s’ensuit que la prolongation de la détention provisoire de la recourante se justifie, les conditions de l’art. 221 CPP étant réalisées.</w:t>
      </w:r>
    </w:p>
    <w:p>
      <w:r>
        <w:rPr>
          <w:b/>
        </w:rPr>
        <w:t>E. 5.1</w:t>
      </w:r>
    </w:p>
    <w:p>
      <w:r>
        <w:t>La recourante soutient que des mesures de substitution à la détention seraient aptes à pallier les risques de récidive et de passage à l’acte. Elle propose de produire une attestation de prise en charge par le CPNVD, le cas échéant de la possibilité d’y être hospitalisée si son état de santé le nécessitait, d’être admise dans un foyer, un appartement protégé ou dans tout autre lieu adéquat, de poursuivre le traitement ambulatoire débuté auprès du CPNVD et d’être interdite d’entrer en contact, de quelque manière que ce soit, avec M.________. Elle explique que les mesures de substitution qui avaient été prononcées par le Tribunal des mesures de contrainte par ordonnance du 20 novembre 2020 n’avaient pas pu être mises en œuvre, le CPNVD ne pouvant pas s’engager à l’hospitaliser sur le long terme, alors que ses pathologies ne nécessitaient pas une hospitalisation prolongée. Elle soutient que des démarches seraient actuellement en cours pour trouver un lieu d’accueil spécialisé qui pourrait lui assurer une prise en charge médico-sociale.</w:t>
      </w:r>
    </w:p>
    <w:p>
      <w:r>
        <w:rPr>
          <w:b/>
        </w:rPr>
        <w:t>E. 5.2</w:t>
      </w:r>
    </w:p>
    <w:p>
      <w:r>
        <w:t>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w:t>
      </w:r>
    </w:p>
    <w:p>
      <w:r>
        <w:rPr>
          <w:b/>
        </w:rPr>
        <w:t>E. 5.3</w:t>
      </w:r>
    </w:p>
    <w:p>
      <w:r>
        <w:t>En l’espèce, il apparaît que les risques retenus peuvent être parés par la mise en œuvre de mesures de substitution à la détention, quand bien même celles qui avaient été prononcées par ordonnance du 20 novembre 2020 n’ont pas pu être mises en œuvre jusqu’à présent. En effet, les circonstances ne semblent pas moins favorables à ce jour ; un revirement ne se justifie donc pas, d’autant moins que le Ministère public ne s’oppose pas au prononcé de telles mesures de substitution. Compte tenu de ce qui précède et en particulier au vu des troubles psychiques de la recourante, une prise en charge adéquate doit être assurée pour pallier les risques de réitération et de passage à l’acte. Il y a donc lieu de prononcer les mesures de substitution à la détention provisoire suivantes : un séjour dans un centre hospitalier psychiatrique tel que le CPNVD ou tout autre foyer approprié, la poursuite par la recourante du suivi psychologique et psychiatrique régulier déjà mis sur pied avec le CPNVD et l’interdiction à la recourante d’entrer en contact, de quelque manière que ce soit, avec M.________. La recourante ne partageant plus un logement avec ce dernier, il n’y a plus lieu de lui interdire de se rendre au domicile qui était partagé. Les mesures de substitution précitées seront mises en œuvre à compter du moment où la recourante aura remis une attestation d’admission et de prise en charge thérapeutique en mains de la direction de la procédure.</w:t>
      </w:r>
    </w:p>
    <w:p>
      <w:r>
        <w:rPr>
          <w:b/>
        </w:rPr>
        <w:t>E. 6</w:t>
      </w:r>
    </w:p>
    <w:p>
      <w:r>
        <w:t>Dans le respect du principe de la proportionnalité, la durée maximale de la prolongation de la détention provisoire et des mesures de substitution sera fixée à trois mois, soit au plus tard jusqu’au 16 avril 2021. Ce délai devrait permettre la poursuite de l’enquête et la mise en œuvre de l’expertise psychiatrique, afin de préciser les troubles dont souffrent la recourante et l’ampleur des risques qu’elle présente pour autrui. Enfin, la durée de la prolongation de la détention provisoire et des mesures de substitution demeure proportionnée au vu des charges pesant sur la prévenue et de la peine susceptible d’être prononcée en cas de condamnation pour les faits reprochés, qui pourraient être constitutifs de tentative de meurtre, injure, menaces et incendie intentionnel.</w:t>
      </w:r>
    </w:p>
    <w:p>
      <w:r>
        <w:rPr>
          <w:b/>
        </w:rPr>
        <w:t>E. 7</w:t>
      </w:r>
    </w:p>
    <w:p>
      <w:r>
        <w:t>Il s’ensuit que le recours, bien fondé, doit être partiellement admis et l’ordonnance réformée dans le sens des considérants qui précèdent. Vu la réforme de l’ordonnance entreprise, il y a lieu de laisser les frais de la procédure de première instance à la charge de l’Etat (art. 428 al. 3 CPP). La recourante obtenant en grande partie gain de cause, les frais de la procédure de recours, constitués de l’émolument d’arrêt, par 1'540 fr. (art. 20 al. 1 TFIP [tarif des frais de procédure et indemnités en matière pénale du 28 septembre 2010 ; BLV 312.03.1]), ainsi que des frais imputables à la défense d’office (art. 422 al. 1 et 2 let. a CPP), fixés à 791 fr. – qui comprennent des honoraires par 720 fr. (4 heures x 180 fr./h), des débours forfaitaires de 2 % par 14 fr. 40 (cf. art. 26b TFIP qui renvoie à l'art. 3 bis RAJ [règlement sur l’assistance judiciaire en matière civile du 7 décembre 2010 ; BLV 211.02.3]) et la TVA sur le tout, au taux de 7,7%, par 56 fr. 55 [le tout arrondi] –, seront laissés à la charge de l’Etat (art. 423 al. 1 CPP). Par ces motifs, la Chambre des recours pénale prononce : I. Le recours est partiellement admis. II. L’ordonnance du 12 janvier 2021 est réformée comme il suit : I. La détention provisoire de E.________ est prolongée pour une durée maximale de trois mois, soit au plus tard jusqu’au 16 avril 2021. II. Les mesures de substitution à la détention provisoire suivantes sont prononcées, à compter du moment où E.________ aura remis une attestation d’admission et de prise en charge thérapeutique en mains de la direction de la procédure : un séjour dans un centre hospitalier psychiatrique tel que le Centre de psychiatrie du Nord vaudois ou tout autre foyer approprié ; la poursuite par E.________ du suivi psychologique et psychiatrique régulier déjà mis sur pied avec le CPNV ; l’interdiction à E.________ d’entrer en contact, de quelque manière que ce soit, avec M.________. III. La durée maximale des mesures de substitution prononcées au chiffre II ci-dessus est fixée à trois mois, soit au plus tard jusqu’au 16 avril 2021. IV. Les frais de cette décision, par 300 fr. (trois cents francs), sont laissés à la charge de l’Etat. III. L’indemnité allouée au défenseur d’office de la recourante, Me Alexa Landert, est fixée à 791 fr. (sept cent nonante et un francs). IV. Les frais d’arrêt, par 1’540 fr. (mille cinq cent quarante francs), ainsi que l’indemnité due au défenseur d’office de E.________, par 791 fr. (sept cent nonante et un francs), sont laissés à la charge de l’Etat. V. L’arrêt est exécutoire.3 Le président :               La greffière : Du Le présent arrêt, dont la rédaction a été approuvée à huis clos, est notifié, par l'envoi d'une copie complète, à : - Me Alexa Landert, avocate (pour E.________), - Margaux Zemniczki, curatrice (pour E.________), - Ministère public central, et communiqué à : - M. le Président du Tribunal des mesures de contrainte, - M. le Procureur de l’arrondissement du Nord vaudois, - M.________,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