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872 vom 18. Juni 2021</w:t>
      </w:r>
    </w:p>
    <w:p>
      <w:r>
        <w:t>VD Tribunal cantonal, 2021-06-18, FR</w:t>
      </w:r>
    </w:p>
    <w:p>
      <w:r>
        <w:rPr>
          <w:b/>
        </w:rPr>
        <w:t xml:space="preserve">Quelle: </w:t>
      </w:r>
      <w:r>
        <w:t>https://mcp.opencaselaw.ch/entscheid/vd_findinfo_D_cision___2021___872</w:t>
      </w:r>
    </w:p>
    <w:p>
      <w:r>
        <w:t>FR: VD_FINDINFO Décision / 2021 / 872 du 18 juin 2021</w:t>
      </w:r>
    </w:p>
    <w:p>
      <w:r>
        <w:t>IT: VD_FINDINFO Décision / 2021 / 872 del 18 giugno 2021</w:t>
      </w:r>
    </w:p>
    <w:p>
      <w:pPr>
        <w:pStyle w:val="Heading2"/>
      </w:pPr>
      <w:r>
        <w:t>Regeste</w:t>
      </w:r>
    </w:p>
    <w:p>
      <w:r>
        <w:t>DÉCISION SUR FRAIS, NE BIS IN IDEM | 310 CPP (CH), 427 al. 2 CPP (CH)</w:t>
      </w:r>
    </w:p>
    <w:p>
      <w:pPr>
        <w:pStyle w:val="Heading2"/>
      </w:pPr>
      <w:r>
        <w:t>Erwägungen</w:t>
      </w:r>
    </w:p>
    <w:p>
      <w:r>
        <w:rPr>
          <w:b/>
        </w:rPr>
        <w:t>E. 4</w:t>
      </w:r>
    </w:p>
    <w:p>
      <w:r>
        <w:t>Au vu de ce qui précède, le recours doit être rejeté sans échange d’écritures (art. 390 al. 2 CPP). Les frais de la procédure de recours, constitués en l’espèce du seul émolument d'arrêt, par 770 fr. (art. 20 al. 1 TFIP [tarif des frais judiciaires et indemnités en matière pénale ; BLV 312.03.1]), seront mis à la charge du recourant, qui succombe (art. 428 al. 1 CPP). Par ces motifs, la Chambre des recours pénale prononce : I. Le recours est rejeté. II. L’ordonnance du 17 mai 2021 est confirmée. III. Les frais de la procédure de recours, par 770 fr. (sept cent septante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