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833 vom 12. September 2021</w:t>
      </w:r>
    </w:p>
    <w:p>
      <w:r>
        <w:t>VD Tribunal cantonal, 2021-09-12, FR</w:t>
      </w:r>
    </w:p>
    <w:p>
      <w:r>
        <w:rPr>
          <w:b/>
        </w:rPr>
        <w:t xml:space="preserve">Quelle: </w:t>
      </w:r>
      <w:r>
        <w:t>https://mcp.opencaselaw.ch/entscheid/vd_findinfo_D_cision___2021___833</w:t>
      </w:r>
    </w:p>
    <w:p>
      <w:r>
        <w:t>FR: VD_FINDINFO Décision / 2021 / 833 du 12 septembre 2021</w:t>
      </w:r>
    </w:p>
    <w:p>
      <w:r>
        <w:t>IT: VD_FINDINFO Décision / 2021 / 833 del 12 settembre 2021</w:t>
      </w:r>
    </w:p>
    <w:p>
      <w:pPr>
        <w:pStyle w:val="Heading2"/>
      </w:pPr>
      <w:r>
        <w:t>Regeste</w:t>
      </w:r>
    </w:p>
    <w:p>
      <w:r>
        <w:t>DÉFENSE D'OFFICE, ADMISSION DE LA DEMANDE, AFFECTION PSYCHIQUE, MALADIE MENTALE, ANTÉCÉDENT | 130 let. c CPP (CH),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 Les pièces nouvelles produites par le recourant sont également recevables (cf. CREP 1 er juillet 2020/515). Il en sera donc tenu compte dans le traitement du recours.</w:t>
      </w:r>
    </w:p>
    <w:p>
      <w:r>
        <w:rPr>
          <w:b/>
        </w:rPr>
        <w:t>E. 2.1</w:t>
      </w:r>
    </w:p>
    <w:p>
      <w:r>
        <w:t>Le recourant fait valoir qu’il ne serait pas en mesure de se défendre seul et qu’il remplirait les conditions d’une défense obligatoire au sens de l’art. 130 let. c CPP. Il relève notamment qu’une mesure de curatelle de portée générale a été ordonnée en sa faveur le 31 juillet 2013. Il ajoute que selon les conclusions de l’expertise psychiatrique établie à son sujet le 11 janvier 2016 par l’Institut de Psychiatrie Légale du CHUV, il présente « un retard mental léger et un trouble mixte de la personnalité » et « une dépendance à l’alcool et aux produits stupéfiants » , son quotient intellectuel (QI) total étant de 61, soit « très faible » . Enfin, il ajoute qu’il se trouvait, au moment des faits, en exécution d’une mesure auprès du Foyer de la Croisée de Joux, à l’Abbaye, ce qui confirmerait la persistance – du moins partielle – des troubles diagnostiqués.</w:t>
      </w:r>
    </w:p>
    <w:p>
      <w:r>
        <w:rPr>
          <w:b/>
        </w:rPr>
        <w:t>E. 2.2</w:t>
      </w:r>
    </w:p>
    <w:p>
      <w:r>
        <w:t>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6B_508/2020 du 7 janvier 2021 consid. 2.1.1; TF 1B_493/2019 du 20 décembre 2019 consid. 2.1; TF 1B_285/2016 du 1 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 e éd., Bâle 2016, n. 15 ad art. 130 CPP et la référence citée). La cause des incapacités personnelles peut consister dans des dépendances à l’alcool, aux stupéfiants ou à des médicaments, susceptibles d’altérer les capacités psychiques (TF 6B_508/2020 du 7 janvier 2021 consid. 2.1.1; TF 1B_493/2019 du 20 décembre 2019 consid. 2.1; TF 1B_285/2016 du 1er septembre 2016 consid. 2.1 et les références citées), ainsi que de troubles mentaux sévères ou même légers (Schmid/Jositsch, Praxiskommentar, Schweizerische Strafprozessordnung,</w:t>
      </w:r>
    </w:p>
    <w:p>
      <w:r>
        <w:rPr>
          <w:b/>
        </w:rPr>
        <w:t>E. 2.3</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TF 1B_374/2018 du 4 septembre 2018 consid. 2.1). Les critères énoncés par l'art. 132 al. 1, let. b, 2 et 3 CPP reprennent largement la jurisprudence du Tribunal fédéral en matière d'assistance judiciaire, rendue sur la base des art. 29 al. 3 Cst. et 6 ch. 3 let. c CEDH (ATF 143 I 164 consid. 3.5; TF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TF 6B_243/2017 du 21 septembre 2017 consid. 2.2; TF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1B_494/2019 du 20 décembre 2019 consid. 3.1 et les arrêts cités; TF 1B_93/2018 du 29 mai 2018 consid. 3.1; TF 1B_257/2013 du 28 octobre 2013 consid. 2.1, SJ 2014 I p. 273). 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(ATF 140 V 521 consid. 9.1 p. 537; TF 1B_257/2013 du 28 octobre 2013 consid. 2.1, SJ 2014 I p. 273). La difficulté objective d'une cause est admise sur le plan juridique lorsque la subsomption des faits donne lieu à des doutes, que ce soit de manière générale ou dans le cas particulier (TF 1B_538/2019 du 10 décembre 2019 consid. 3.1 et l'arrêt cité).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(TF 1B_257/2013 du 28 octobre 2013 consid. 2.1, SJ 2014 I p. 273), ainsi que des mesures qui paraissent nécessaires, dans le cas particulier, pour assurer sa défense, notamment en ce qui concerne les preuves qu'il devra offrir (TF 1B_538/2019 du 10 décembre 2019 consid. 3.1 et les arrêts cités ; TF 1B_9/2020 du 6 mai 2020; TF 1B_210/2019 du 29 juillet 2019).</w:t>
      </w:r>
    </w:p>
    <w:p>
      <w:r>
        <w:rPr>
          <w:b/>
        </w:rPr>
        <w:t>E. 2.4</w:t>
      </w:r>
    </w:p>
    <w:p>
      <w:r>
        <w:t>En l’espèce, la cause est relativement simple s’agissant des faits, dès lors que l’établissement de ceux-ci ne présente aucune difficulté particulière et qu’en outre le prévenu a une connaissance, au vu de ses précédentes condamnations, du déroulement d’une procédure pénale. Juridiquement, la cause n’est pas non plus compliquée, ce que le recourant ne conteste d’ailleurs pas. Toutefois, le recourant a des antécédents pénaux, dont le jugement du Tribunal correctionnel de l'arrondissement de la Broye et du Nord vaudois du 1 er février 2016 qui a notamment conduit au prononcé d’une peine privative de liberté de 18 mois, suspendue au profit de traitements institutionnels au sens des art. 59 et 60 CP. Il ressort de l’expertise psychiatrique effectuée dans le cadre de la procédure ayant conduit à cette condamnation et produite à l’appui du présent recours que X.________ présente un retard mental léger et un trouble mixte de la personnalité caractérisé par des traits immatures, impulsifs et antisociaux, ainsi qu’une dépendance à l’alcool et aux produits stupéfiants. Son QI total est de 62, soit « très faible » . Enfin, le recourant fait l’objet d’une curatelle de portée générale depuis plusieurs années, ce qui tend également à démontrer son incapacité à gérer ses affaires courantes. Il faut ainsi admettre qu’au vu de l’ensemble des circonstances mentionnées ci-dessus, le prévenu n’est pas en mesure de faire face seul à la procédure pénale. L'affaire présente en effet des difficultés que le prévenu ne pourrait pas surmonter sans l'aide d'un avocat, les conditions de l’art. 132 CPP apparaissant ainsi réalisées. A cela s’ajoute que, compte tenu des éléments au dossier et des antécédents du prévenu, il pourrait être exposé au prononcé d’une nouvelle mesure institutionnelle au sens de l’art. 59 CP. La situation est à ce point sensible que X.________ pourrait ainsi même remplir les conditions de la défense obligatoire au sens de l’art. 130 let. c CPP. Dans ces conditions, le fait que le recourant ait un représentant légal en la personne d’un curateur professionnel ne suffit pas.</w:t>
      </w:r>
    </w:p>
    <w:p>
      <w:r>
        <w:rPr>
          <w:b/>
        </w:rPr>
        <w:t>E. 3</w:t>
      </w:r>
    </w:p>
    <w:p>
      <w:r>
        <w:t>En définitive, le recours doit être admis et l'ordonnance attaquée réformée en ce sens que l'avocat Olivier Peter est désigné en qualité de défenseur d'office du recourant. La désignation prendra effet au jour du dépôt de la demande, soit le 7 décembre 2020 (cf. CREP 3 décembre 2020/972; CREP 15 avril 2016/251). Le recourant ayant obtenu gain de cause, les frais de la procédure de recours, constitués en l’espèce de l’émolument d’arrêt, par 990 fr. (art. 20 al. 1 TFIP [Tarif des frais de procédure et indemnités en matière pénale du 28 septembre 2010 ; BLV 312.03.1]), ainsi que de l’indemnité allouée à son défenseur d’office, fixée à 396 fr. en chiffres arrondis, comprenant des honoraires, par 360 fr. (correspondant à deux heures d'activité nécessaire d’avocat au tarif horaire de 180 fr.), plus des débours forfaitaires à concurrence de 2%, par 7 fr. 20 (art. 26b TFIP, renvoyant à l’art. 3bis al. 1 RAJ [Règlement sur l’assistance judiciaire en matière civile du 7 décembre 2010 ; BLV 211.02.3]), et la TVA au taux de 7,7%, par 28 fr. 25, seront laissés à la charge de l’Etat (art. 423 al. 1 CPP). Par ces motifs, la Chambre des recours pénale prononce : I. Le recours est admis. II. L'ordonnance du 17 juin 2021 est réformée en ce sens que Me Olivier Peter est désigné en qualité de défenseur d'office de X.________ avec effet au 7 décembre 2020. L’ordonnance est maintenue pour le surplus. III. L'indemnité due à Me Olivier Peter pour la procédure de recours est fixée à 396 fr. (trois cent nonante-six francs). IV. Les frais d'arrêt, par 990 fr. (neuf cent nonante francs), ainsi que l'indemnité fixée au chiffre III ci-dessus, par 396 fr. (trois cent nonante-six francs), sont laissés à la charge de l'Etat. V. L’arrêt est exécutoire. Le président :               La greffière : Du Le présent arrêt, dont la rédaction a été approuvée à huis clos, est notifié, par l'envoi d'une copie complète, à : - Me Olivier Peter, avocat (pour X.________),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