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830 vom 13. September 2021</w:t>
      </w:r>
    </w:p>
    <w:p>
      <w:r>
        <w:t>VD Tribunal cantonal, 2021-09-13, FR</w:t>
      </w:r>
    </w:p>
    <w:p>
      <w:r>
        <w:rPr>
          <w:b/>
        </w:rPr>
        <w:t xml:space="preserve">Quelle: </w:t>
      </w:r>
      <w:r>
        <w:t>https://mcp.opencaselaw.ch/entscheid/vd_findinfo_D_cision___2021___830</w:t>
      </w:r>
    </w:p>
    <w:p>
      <w:r>
        <w:t>FR: VD_FINDINFO Décision / 2021 / 830 du 13 septembre 2021</w:t>
      </w:r>
    </w:p>
    <w:p>
      <w:r>
        <w:t>IT: VD_FINDINFO Décision / 2021 / 830 del 13 settembre 2021</w:t>
      </w:r>
    </w:p>
    <w:p>
      <w:pPr>
        <w:pStyle w:val="Heading2"/>
      </w:pPr>
      <w:r>
        <w:t>Regeste</w:t>
      </w:r>
    </w:p>
    <w:p>
      <w:r>
        <w:t>REJET DE LA DEMANDE, EXÉCUTION DES PEINES ET DES MESURES, MESURE THÉRAPEUTIQUE INSTITUTIONNELLE | 59 al. 3 CP, 38 LEP</w:t>
      </w:r>
    </w:p>
    <w:p>
      <w:pPr>
        <w:pStyle w:val="Heading2"/>
      </w:pPr>
      <w:r>
        <w:t>Erwägungen</w:t>
      </w:r>
    </w:p>
    <w:p>
      <w:r>
        <w:rPr>
          <w:b/>
        </w:rPr>
        <w:t>E. 1.1</w:t>
      </w:r>
    </w:p>
    <w:p>
      <w:r>
        <w:t>Aux termes de l'art. 38 al. 1 LEP (loi sur l’exécution des condamnations pénales du 4 juillet 2006 ; BLV 340.01), les décisions rendues par l’Office d’exécution des peines peuvent faire l'objet d'un recours auprès du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auprès de l'autorité compétente, par une partie ayant qualité pour recourir (cf. art. 382 al. 1 CPP), le recours, qui satisfait en outre aux conditions de forme posées par l’art. 385 al. 1 CPP, est recevable.</w:t>
      </w:r>
    </w:p>
    <w:p>
      <w:r>
        <w:rPr>
          <w:b/>
        </w:rPr>
        <w:t>E. 2.1</w:t>
      </w:r>
    </w:p>
    <w:p>
      <w:r>
        <w:t>Le recourant invoque en premier lieu que sa détention a été prononcée en violation des garanties de procédure équitable. Il fait valoir que l’OEP sait qu’il fait l’objet d’une curatelle de portée générale à forme de l’art. 398 CC, d’une part, et qu’il a un avocat en la personne de Me [...], d’autre part. Or, en dépit de ces deux constats, l’OEP aurait interpellé directement L.________ « au sujet des prétendus accidents intervenus auprès de la Fondation », sans adresser une copie de sa demande à la curatrice et à l’avocat. C’est sur la base « d’une réponse prétendument formulée par une personne juridiquement incapable de le faire et sans informer ses représentants légaux » que le placement à la prison de la Croisée aurait été ordonné. Du reste, toute mention de la réponse formulée par L.________ aurait été « opportunément supprimée de l’ordonnance attaquée ». Or, c’est cet échange qui aurait été à la base de la réintégration immédiate. Il requiert ainsi la production de pièces de la part de l’OEP, soit les échanges directs avec le détenu.</w:t>
      </w:r>
    </w:p>
    <w:p>
      <w:r>
        <w:rPr>
          <w:b/>
        </w:rPr>
        <w:t>E. 2.2.1</w:t>
      </w:r>
    </w:p>
    <w:p>
      <w:r>
        <w:t>L'art. 59 al. 3 CP prévoit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 ème phrase,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(TF 6B_319/2017 du 28 septembre 2017 consid. 1.1 ; TF 6B_845/2016 du 29 juin 2017 consid. 3.1.2; TF 6B_1040/2015 du 29 juin 2016 consid. 5.1 et les arrêts cités). 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 en revanche, l'art. 59 al. 3 CP ne devrait pas s'appliquer à de simples difficultés de comportement ou à l'insoumission vis-à-vis des employés de l'établissement (TF 6B_538/2013 du 14 octobre 2013 consid. 3.1 ; TF 6B_372/2012 du 27 septembre 2012 consid. 2.3 ; TF 6B_629/2009 du 21 décembre 2009 consid. 1.2.2.2).</w:t>
      </w:r>
    </w:p>
    <w:p>
      <w:r>
        <w:rPr>
          <w:b/>
        </w:rPr>
        <w:t>E. 2.2.2</w:t>
      </w:r>
    </w:p>
    <w:p>
      <w:r>
        <w:t>Le droit d'être entendu, garanti par l'art. 29 al. 2 Cst. (Constitution fédérale de la Confédération suisse du 18 avril 1999 ; RS 101) et par l'art. 3 al. 2 let. c CPP, comprend notamment le droit pour l'intéressé d'obtenir qu'il soit donné suite à ses offres de preuves pertinentes, lorsque cela est de nature à influer sur la décision à rendre (ATF 143 III 65 consid. 3.2 ; ATF 142 II 218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Ce refus d'instruire ne viole ainsi le droit d'être entendu des parties que si l'appréciation anticipée de la pertinence du moyen de preuve offert, à laquelle le juge a procédé, est entachée d'arbitraire (ATF 141 I 60 consid. 3.3 et les réf. citées ; TF 1B_355/2019 du 31 juillet 2019 consid. 3.1). 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références citées ; TF 6B_860/2019 du 18 septembre 2019 consid. 2.1).</w:t>
      </w:r>
    </w:p>
    <w:p>
      <w:r>
        <w:rPr>
          <w:b/>
        </w:rPr>
        <w:t>E. 2.3</w:t>
      </w:r>
    </w:p>
    <w:p>
      <w:r>
        <w:t>En l’occurrence, il convient de relever que, dans son recours, le recourant ne conteste pas que les conditions posées par l’art. 59 al. 3 CP sont remplies, à savoir qu’il présente un risque de récidive et de fuite. À raison, au vu de l’expertise réalisée le 1 er février 2016, des divers avis de la CIC et des évaluations criminologiques au dossier, ainsi que des multiples transgressions relevées dans la décision attaquée, dont la dernière en date du 10 août 2021, lors de laquelle il s’est promené dans l’institution alcoolisé et un couteau à la main, et qui a entraîné son arrestation immédiate. Le grief soulevé par le recourant est un grief formel. Il est vrai qu’il est curieux qu’en 2020, par exemple, toutes les correspondances adressées au condamné ont également été envoyées en copie à son avocat, et quelque fois en plus au Service de la protection de l’adulte à Genève, et qu’en 2021 ce ne soit plus systématiquement le cas. Ainsi : - Lettre du 10 février 2021 : demande de déterminations à L.________ suite à des manquements notamment lors d’une sortie (il a été contrôlé positif à un alcootest et il s’est éloigné pour aller chez Denner) ; envoyée au curateur, mais pas à l’avocat. - Lettre du 11 mars 2021 : disant qu’il avait reconnu les faits précités et le sommant d’adopter un meilleur comportement ; envoyée au curateur, mais pas à l’avocat. - Lettre du 17 mars 2021 : demande de déterminations à L.________ suite à un nouveau contrôle positif à l’alcool, une nouvelle transgression de périmètre et un refus de balade ; envoyée au curateur, mais pas à l’avocat. - Lettre du 23 juillet 2021 : demande de déterminations à L.________ suite à des consommations régulières d’alcool et des transgressions de périmètre ; pas envoyée au curateur ni à l’avocat. - Lettre du 28 juillet 2021 : fait référence à une réponse de L.________ reçue le même jour concernant son placement en institution ; rappel du cadre ; pas envoyé au curateur ni à l’avocat. Ces lettres ont fait l’objet des réponses de L.________ (et non de son avocat) suivantes : - Lettre du 16 février 2021 : admet les faits. - Lettre du 14 mars 2021 : admet avoir bu de l’alcool, dit que c’est un exutoire pour lui et qu’il lui est difficile de faire autrement ; admet s’être trop éloigné et dit que cela ne se reproduira plus. - Lettre reçue le 28 juillet 2021 : admet plusieurs sorties de cadre concernant l’alcoolisation et les sorties de périmètre ; dit qu’il n’a pas d’excuse. Il ressort de ce qui précède que le grief est fondé, en ce sens qu’il est vrai que des demandes de déterminations avant décision n’ont été adressées qu’au condamné lui-même et pas à son avocat. Il ne ressort toutefois pas du dossier que le recourant, même s’il fait l’objet d’une curatelle de portée générale, est dépourvu de discernement ; au contraire, ses réponses au courriers de l’OEP montrent qu’il est conscient des impératifs du cadre posé ainsi que de ses transgressions, et qu’il en attribue la cause à ses addictions. En outre, le recourant ne démontre pas que ses réponses directes à l’OEP n’auraient pas correspondu à la vérité ni qu’elle auraient eu une influence déterminante dans la décision attaquée. Tel n’est manifestement pas le cas. En effet, les transgressions multiples du cadre fixé sont documentées par d’autres preuves (alcootests, déclarations des accompagnants lors des sorties et des employés de la fondation). Surtout, ce sont les événements du 10 août 2021 qui ont entraînés l’arrestation du recourant, qui ont été déterminants. Or, l’ordre de procéder à l’arrestation immédiate de L.________, daté du 11 août 2021, qui faisait état desdites transgressions et des déterminations du condamné, d’une part, et donnait à ce dernier un délai de trois jours pour se déterminer, d’autre part, a été adressé à l’avocat de celui-ci, et ledit avocat a pu rédiger des déterminations pour son client le 18 août 2021. Ainsi, si le droit d’être entendu du recourant a été violé précédemment – ce qui n’est pas démontré – il aurait été guéri avant la reddition de la décision. Dans ces conditions, le grief doit être rejeté, ainsi que les réquisitions de production des échanges intervenus entre l’OEP et L.________. Au demeurant, les pièces en cause sont au dossier de la présente cause.</w:t>
      </w:r>
    </w:p>
    <w:p>
      <w:r>
        <w:rPr>
          <w:b/>
        </w:rPr>
        <w:t>E. 3.1</w:t>
      </w:r>
    </w:p>
    <w:p>
      <w:r>
        <w:t>Le recourant fait en outre valoir que l’établissement pénitentiaire où il a été placé provisoirement est inapproprié. Il invoque qu’il n’a vu un médecin que le 24 août 2021, soit 13 jours après son placement, et une psychiatre que le 25 août suivant, ce qui impliquerait qu’il a été laissé sans prise en charge psychiatrique durant deux semaines alors qu’il est gravement malade et en période de « crise ». Il relève qu’aucune réponse à cet égard n’a été fournies alors qu’il a soulevé ce problème dans ses déterminations du 18 août 2021.</w:t>
      </w:r>
    </w:p>
    <w:p>
      <w:r>
        <w:rPr>
          <w:b/>
        </w:rPr>
        <w:t>E. 3.2</w:t>
      </w:r>
    </w:p>
    <w:p>
      <w:r>
        <w:t>L'art. 59 al. 3 CP permet un placement du condamné dans un établissement pénitentiaire pour autant qu'il puisse y recevoir un traitement par du personnel qualifié. Le choix du lieu d'exécution constitue une modalité d'exécution de la mesure, qui relève de la compétence de l'autorité d'exécution (ATF 142 IV 1 consid. 2.5, JdT 2016 IV 329 ; TF 6B_629/2009 du 21 décembre 2009 consid. 1.2.3). Dans le canton de Vaud, l'OEP est compétent pour désigner l'établissement dans lequel le condamné sera placé (art. 21 al. 2 LEP). L'exécution des peines et mesures par l'OEP est notamment régie par le règlement sur le statut des personnes condamnées exécutant une peine privative de liberté ou une mesure du 16 août 2017 (RSPC ; BLV 340.01.1). Selon l'art. 4 RSPC, les personnes condamnées n'ont pas le choix des établissements et institutions dans lesquels elles exécutent une peine ou une mesure.</w:t>
      </w:r>
    </w:p>
    <w:p>
      <w:r>
        <w:rPr>
          <w:b/>
        </w:rPr>
        <w:t>E. 3.3</w:t>
      </w:r>
    </w:p>
    <w:p>
      <w:r>
        <w:t>En l’espèce, la décision attaquée prévoit la poursuite de la prise en charge thérapeutique auprès du SMPP. Il s’ensuit que le suivi médical du recourant est poursuivi dans l’établissement fermé. Quant au délai de deux semaines invoqué, il n’entraine pas que la structure serait inappropriée. Au demeurant, le recourant ne précise pas à quelle fréquence il rencontrait son psychiatre quand il séjournait à la fondation et ne prétend pas que celle-ci était plus courte. Au surplus, on constate que le principe de la proportionnalité est respecté. En effet, la décision attaquée ordonne le placement temporaire de L.________ et une rencontre interdisciplinaire était prévue au début de ce mois pour discuter de la suite de l’exécution de sa mesure thérapeutique institutionnelle. Partant, le grief doit être rejeté, ainsi que les réquisitions présentées le 13 septembre 2021.</w:t>
      </w:r>
    </w:p>
    <w:p>
      <w:r>
        <w:rPr>
          <w:b/>
        </w:rPr>
        <w:t>E. 4</w:t>
      </w:r>
    </w:p>
    <w:p>
      <w:r>
        <w:t>En définitive, le recours, manifestement mal fondé, doit être rejeté, sans autre échange d’écritures (art. 390 al. 2 CPP), et la décision attaquée confirmée. Le recourant demande la désignation d’un avocat d’office pour la procédure de recours. En application des principes relatifs à la défense d’office selon l’art. 132 al. 1 CPP, qui s’appliquent mutatis mutandis à titre de droit cantonal supplétif en vertu de l’art. 38 al. 2 LEP, Me Olivier Peter sera désigné en qualité de défenseur d’office de L.________ dans la présente cause (CREP 29 mars 2019/253 ; CREP 30 juillet 2018/570 consid. 8 ; CREP 23 juin 2015/423 consid. 4.2). Les frais de la procédure de recours, par 1’430 fr. (art. 20 al. 1 TFIP [tarif des frais de procédure et indemnités en matière pénale du 28 septembre 2010 ; BLV 312.03.1]), ainsi que les frais imputables à la défense d’office (art. 422 al. 1 et 2 let. a CPP), fixés à 594 fr. en chiffres arrondis – qui comprennent des honoraires par 540 fr. (3 heures d’activité nécessaire d’avocat au tarif horaire de 180 fr.), des débours forfaitaires de 2 %, par 10 fr. 80 (cf. art. 26b TFIP qui renvoie à l'art. 3 bis RAJ [règlement sur l’assistance judiciaire en matière civile du 7 décembre 2010 ; BLV 211.02.3]), et la TVA sur le tout, au taux de 7,7 %, par 42 fr. 40 –,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La décision du 24 août 2021 est confirmée. III. Me Olivier Peter est désigné en qualité de défenseur d’office de L.________ pour la procédure de recours et son indemnité est fixée à 594 fr. (cinq cent nonante-quatre francs). IV. Les frais d’arrêt, par 1’430 fr. (mille quatre cent trente francs), ainsi que l’indemnité due au défenseur d’office de L.________, par 594 fr. (cinq cent nonante-quatre francs), sont mis à la charge de ce dernier. V. Le remboursement à l'Etat de l'indemnité allouée au chiffre III ci-dessus ne sera exigible que pour autant que la situation financière de L.________ le permette. VI. L’arrêt est exécutoire. Le président :               La greffière : Du Le présent arrêt, dont la rédaction a été approuvée à huis clos, est notifié, par l'envoi d'une copie complète, à : - Me Olivier Peter, avocat (pour L.________), - Ministère public central, et communiqué à : ‑ Office d’exécution des peines, - Direction de la prison de la Croisée, - Tribunal des mesures de contrainte et d’application des peines, - Service de Médecine et de Psychiatrie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