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829 vom 13. September 2021</w:t>
      </w:r>
    </w:p>
    <w:p>
      <w:r>
        <w:t>VD Tribunal cantonal, 2021-09-13, FR</w:t>
      </w:r>
    </w:p>
    <w:p>
      <w:r>
        <w:rPr>
          <w:b/>
        </w:rPr>
        <w:t xml:space="preserve">Quelle: </w:t>
      </w:r>
      <w:r>
        <w:t>https://mcp.opencaselaw.ch/entscheid/vd_findinfo_D_cision___2021___829</w:t>
      </w:r>
    </w:p>
    <w:p>
      <w:r>
        <w:t>FR: VD_FINDINFO Décision / 2021 / 829 du 13 septembre 2021</w:t>
      </w:r>
    </w:p>
    <w:p>
      <w:r>
        <w:t>IT: VD_FINDINFO Décision / 2021 / 829 del 13 settembre 2021</w:t>
      </w:r>
    </w:p>
    <w:p>
      <w:pPr>
        <w:pStyle w:val="Heading2"/>
      </w:pPr>
      <w:r>
        <w:t>Regeste</w:t>
      </w:r>
    </w:p>
    <w:p>
      <w:r>
        <w:t>DÉTENTION PROVISOIRE, RISQUE DE FUITE, SOUPÇON, MESURE DE SUBSTITUTION À LA DÉTENTION, PROPORTIONNALITÉ | 221 al. 1 let. a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invoque que, selon l’arrêt du Tribunal fédéral 1B_93/2021 du 19 juillet 2021, les données issues de surveillance à l’étranger sont inexploitables, et qu’actuellement, elles n’ont pas été détruites et sont évoquées dans l’ensemble du dossier, y compris dans le rapport de police du 21 janvier 2020 (P. 85), sur lequel le Tribunal des mesures de contrainte se serait fondé. Ce faisant, ce tribunal aurait violé l’interdiction d’exploiter les preuves illicites prononcées par le Tribunal fédéral. Il en déduit que les soupçons à son égard devraient être fortement atténués, dès lors qu’ils seraient fondés sur des données totalement inexploitables, non seulement à titre de preuves directes, mais également à titre de preuves dérivées.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le Tribunal des mesures de contrainte relève que le recourant a été interpellé le 18 juin 2019 sur l’autoroute A1 dans le canton de Vaud avec 8,8 kg bruts de haschich et que, pour ce motif déjà, les soupçons de culpabilité du prévenu sont suffisants pour justifier la détention provisoire. Il considère au surplus que, selon le rapport de police précité, le prévenu est mis en cause, de manière circonstanciée, pour la vente de plus de 23 kg nets de haschich. S’agissant du trafic de drogue, il n’appartient pas la Cour de céans de définir précisément les preuves dérivées des preuves illicites, à savoir celles qui ont été récoltées en France et en Espagne entre le 10 avril 2019 – pose de la balise – et le 18 juin 2019 – date de l'interpellation du recourant. En outre, le recourant se contente d’une affirmation générale et ne conteste pas précisément l’état de fait retenu par le premier juge et en particulier les quantités de drogue mentionnées dans l’ordonnance. A ce stade, il paraît toutefois incontestable que le recourant est soupçonné d’infraction grave à la loi fédérale sur les stupéfiants pour la quantité retrouvée dans le véhicule intercepté en Suisse, soit pour 8,55 kg nets de haschich, et pour les quantités déterminées par la police, soit pour 23.4 kg nets de haschich, quantités déterminées à partir des saisies opérées dans le dépôt utilisé par le recourant à Savigny, soit 3,5 kg de haschich, de la mise en cause d’[...], soit 6 kg de haschich, et des quantités déduites du bénéfice de 11'000 fr. réalisé par le recourant avec une partie de cette marchandise (cf. P. 85, pp. 61 à 62). En l’état, ces quantités ne semblent pas reposer sur des preuves qui pourraient être illicites. Le recourant ne le démontre de toute manière pas, ni n’essaie du reste de le faire. Par conséquent, le recourant apparaît être impliqué dans un trafic portant sur une quantité totale de 31.95 kg nets de haschich. S’agissant des infractions à la loi fédérale sur la circulation routière, le recourant ne les mentionne pas, mais elles ne sont pas anodines ; il y a notamment un délit de chauffard, le recourant étant soupçonné d’avoir circulé à 280 km/h sur un tronçon d’autoroute suisse limité à 120 km/h, une conduite sans permis valable et un délit de fuite. A cela s’ajoutent encore une infraction de vol, subsidiairement de recel, deux infractions à la loi fédérale sur les armes, les accessoires d’armes et les munitions, et une infraction à la loi fédérale sur les étrangers et l’intégration. Au vu des éléments qui précèdent, il existe des indices suffisamment sérieux que M.________ ait commis les crimes et délits dont il est prévenu, justifiant sa mise en détention provisoire.</w:t>
      </w:r>
    </w:p>
    <w:p>
      <w:r>
        <w:rPr>
          <w:b/>
        </w:rPr>
        <w:t>E. 4.1</w:t>
      </w:r>
    </w:p>
    <w:p>
      <w:r>
        <w:t>Le recourant conteste l’existence d’un risque de fuite. Il reproche au Tribunal des mesures de contrainte de ne pas avoir pris en compte les circonstances qu’il faisait valoir, à savoir qu’il avait son centre de vie en Suisse, sa mère, sa sœur, sa compagne, ainsi que son enfant y vivant, et qu’il n’avait pas d’attaches avec le Portugal, où il n’avait nulle intention de s’y rendre, dès lors qu’il avait refusé d’y être extradé.</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w:t>
      </w:r>
    </w:p>
    <w:p>
      <w:r>
        <w:rPr>
          <w:b/>
        </w:rPr>
        <w:t>E. 4.3</w:t>
      </w:r>
    </w:p>
    <w:p>
      <w:r>
        <w:t>En l’espèce, comme l’a relevé le premier juge, s’il est vrai que sa famille réside en Suisse, le recourant est toutefois un ressortissant portugais sans statut de séjour en Suisse et sous le coup d’une interdiction d’entrée en Suisse. Ainsi, devant de toute manière faire face à un départ de Suisse, il est patent qu’il pourra être tenté d’anticiper ce départ en échappant à la sanction pénale. En outre, compte tenu notamment de ses antécédents, il encourt une peine conséquente. A cela s’ajoute qu’il est recherché par les autorités portugaises dans plusieurs enquêtes (cf. P. 85, p. 38). On peut donc sérieusement craindre qu’il cherche, en cas de libération, à se soustraire aux poursuites pénales dirigées contre lui tant en Suisse qu’au Portugal et aux sanctions encourues, que ce soit en disparaissant dans la clandestinité ou en partant à l’étranger. L’existence d’un risque de fuite justifie donc le maintien en détention provisoire du recourant.</w:t>
      </w:r>
    </w:p>
    <w:p>
      <w:r>
        <w:rPr>
          <w:b/>
        </w:rPr>
        <w:t>E. 5.1</w:t>
      </w:r>
    </w:p>
    <w:p>
      <w:r>
        <w:t>Le recourant soutient que des mesures de substitution, à savoir l’obligation de déposer l’intégralité des documents d’identité au greffe du Ministère public, l’obligation de se présenter personnellement, une fois par jour, auprès de l’Hôtel de police de Lausanne et l’assignation à résidence avec port d’un bracelet électronique, supprimeraient le risque retenu.</w:t>
      </w:r>
    </w:p>
    <w:p>
      <w:r>
        <w:rPr>
          <w:b/>
        </w:rPr>
        <w:t>E. 5.2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rPr>
          <w:b/>
        </w:rPr>
        <w:t>E. 5.3</w:t>
      </w:r>
    </w:p>
    <w:p>
      <w:r>
        <w:t>En l’espèce, les mesures de substitution proposées ne sont pas propres à pallier efficacement le risque de fuite. En effet, de jurisprudence constante, le dépôt de pièces d’identité ou l’obligation de se présenter régulièrement à un service administratif ne sont pas de nature à empêcher le recourant de quitter le territoire suisse pour un pays limitrophe ou de disparaître dans la clandestinité, pas plus que la pose d’un bracelet électronique, qui ne permettra pas de prévenir la fuite du recourant, mais uniquement de la constater a posteriori (TF 1B_158/2021 du 20 avril 2021 consid. 3.5 et les références citées ; TF 1B_347/2019 du 17 septembre 2019 consid. 4.3.1 ; TF 1B_362/2019 du 17 septembre 2019 consid. 3.3.1 et 3.3.2).</w:t>
      </w:r>
    </w:p>
    <w:p>
      <w:r>
        <w:rPr>
          <w:b/>
        </w:rPr>
        <w:t>E. 6.1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6.2</w:t>
      </w:r>
    </w:p>
    <w:p>
      <w:r>
        <w:t>En l’espèce, le recourant est détenu depuis le 18 juin 2019, soit depuis un peu plus de deux ans, étant toutefois précisé que du 17 septembre 2020 au 28 février 2021, soit durant plus de cinq mois, le recourant était détenu sous l’autorité de l’Office d’exécution des peines, de sorte que cette durée doit être déduite de la détention provisoire. Compte tenu des antécédents du recourant, de la quantité de drogue sur laquelle porte son trafic, ainsi que des autres charges qui pèsent sur lui, dont notamment un délit de chauffard, il s'expose à une peine privative de liberté d’une durée supérieure à celle de la détention subie à ce jour, étant précisé que la Cour de céans n’a pas à se déterminer par rapport à la durée probable du retranchement des preuves inexploitables, mais seulement par rapport à la question de savoir si, à la date du présent arrêt, la détention est encore proportionnée. Le principe de la proportionnalité est donc respecté.</w:t>
      </w:r>
    </w:p>
    <w:p>
      <w:r>
        <w:rPr>
          <w:b/>
        </w:rPr>
        <w:t>E. 7</w:t>
      </w:r>
    </w:p>
    <w:p>
      <w:r>
        <w:t>Il résulte de ce qui précède que le recours doit être rejeté sans échange d’écritures (art. 390 al. 2 CPP) et l’ordonnance attaquée confirmée. Les frais de la procédure de recours, constitués en l’espèce de l’émolument d'arrêt, par 1’210 fr. (art. 20 al. 1 TFIP [Tarif des frais judiciaires de procédure et indemnités en matière pénale du 28 septembre 2010; BLV 312.03.1]), et des frais imputables à la défense d’office (art. 422 al. 1 et 2 let. a CPP), fixés à 540 fr. (3 heures au tarif horaire de 180 fr.), auxquels il convient d’ajouter des débours forfaitaires à concurrence de 2%, par 10 fr. 80, plus la TVA, par 42 fr. 40, soit à 594 fr. au total en chiffres arrondis,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27 août 2021 est confirmée. III. L'indemnité allouée au défenseur d'office de M.________ est fixée à 594 fr. (cinq cent nonante-quatre francs). IV. Les frais d’arrêt, par 1’210 fr. (mille deux cent dix francs), ainsi que l’indemnité due au défenseur d’office de M.________, par 594 fr. (cinq cent nonante-quatre francs), sont mis à la charge de ce dernier. V. Le remboursement à l'Etat de l'indemnité allouée au chiffre III ci-dessus ne sera exigible que pour autant que la situation financière de M.________ le permette. VI. L’arrêt est exécutoire. Le président :               La greffière : Du Le présent arrêt, dont la rédaction a été approuvée à huis clos, est notifié, par l'envoi d'une copie complète, à : - Me Jérôme Campart, avocat (pour M.________), - Ministère public central ; et communiqué à : - Mme la Présidente du Tribunal des mesures de contrainte,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