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826 vom 14. September 2021</w:t>
      </w:r>
    </w:p>
    <w:p>
      <w:r>
        <w:t>VD Tribunal cantonal, 2021-09-14, FR</w:t>
      </w:r>
    </w:p>
    <w:p>
      <w:r>
        <w:rPr>
          <w:b/>
        </w:rPr>
        <w:t xml:space="preserve">Quelle: </w:t>
      </w:r>
      <w:r>
        <w:t>https://mcp.opencaselaw.ch/entscheid/vd_findinfo_D_cision___2021___826</w:t>
      </w:r>
    </w:p>
    <w:p>
      <w:r>
        <w:t>FR: VD_FINDINFO Décision / 2021 / 826 du 14 septembre 2021</w:t>
      </w:r>
    </w:p>
    <w:p>
      <w:r>
        <w:t>IT: VD_FINDINFO Décision / 2021 / 826 del 14 settembre 2021</w:t>
      </w:r>
    </w:p>
    <w:p>
      <w:pPr>
        <w:pStyle w:val="Heading2"/>
      </w:pPr>
      <w:r>
        <w:t>Regeste</w:t>
      </w:r>
    </w:p>
    <w:p>
      <w:r>
        <w:t>AVOCAT, REPRÉSENTATION EN PROCÉDURE, PARTIE CIVILE, PLAIGNANT, ADMISSION DE LA DEMANDE | 136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conseil juridique gratuit pour la partie plaignante (art. 393 al. 1 let. a CPP), par une partie qui a qualité pour recourir (art. 382 al. 1 CPP), auprès de l’autorité de recours compétente (art. 13 LVCPP [loi vaudoise d’introduction du Code de procédure pénale suisse du 19 mai 2009 ; BLV 312.01] ; art. 80 LOJV [loi d’organisation judiciaire du 12 décembre 1979 ; BLV 173.01]) et dans les formes prescrites (art. 385 al. 1 CPP), le recours est recevable.</w:t>
      </w:r>
    </w:p>
    <w:p>
      <w:r>
        <w:rPr>
          <w:b/>
        </w:rPr>
        <w:t>E. 2</w:t>
      </w:r>
    </w:p>
    <w:p>
      <w:r>
        <w:t>let. c de cette disposition, l'assistance judiciaire comprend notamment la désignation d'un conseil juridique gratuit, lorsque la défense des intérêts de la partie plaignante l'exige.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Selon la jurisprudence,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in : Jeanneret/Kuhn/Perrier Depeursinge [éd.], Commentaire romand, Code de procédure pénale suisse, 2e éd., Bâle 2019, n. 64 ad art. 136 CPP).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2.1</w:t>
      </w:r>
    </w:p>
    <w:p>
      <w:r>
        <w:t>La recourante rappelle qu’elle n’a pas renoncé à se constituer partie civile pour l’épisode du 22 août 2020, que la gravité des séquelles des blessures infligées lors de cet épisode pouvait faire hésiter sur la qualification des lésions subies (simples ou graves), et que dans la mesure où l’atteinte à sa santé viendrait à perdurer et occasionnerait une perte de gain, la procédure pénale revêtirait une importance significative au regard de la réparation du préjudice à laquelle elle pourrait prétendre.</w:t>
      </w:r>
    </w:p>
    <w:p>
      <w:r>
        <w:rPr>
          <w:b/>
        </w:rPr>
        <w:t>E. 2.2</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w:t>
      </w:r>
    </w:p>
    <w:p>
      <w:r>
        <w:rPr>
          <w:b/>
        </w:rPr>
        <w:t>E. 2.3</w:t>
      </w:r>
    </w:p>
    <w:p>
      <w:r>
        <w:t>En l’espèce, Le Ministère public a, à juste titre, considéré que la recourante était indigente et que son action civile n’était pas dépourvue de chances de succès. Pour le surplus, on doit admettre avec la recourante qu’elle n’a manifestement pas renoncé à se constituer partie civile (au sens étroit du CPP) puisque son avocat a clairement manifesté sa volonté de prendre des conclusions civiles à l’encontre du prévenu, à tout le moins en raison de l’épisode du 22 août 2020 (cf. consid. Aa7 supra). Le fait que O.________ n’a pas encore chiffré ses prétentions ne change rien dans la mesure où celles-ci peuvent être détaillées jusqu’à l’issue des débats de première instance. Par ailleurs, l’instruction pénale a été ouverte il y a trois ans dans un contexte de difficultés conjugales sévères. La multiplication et la diversité des faits dénoncés ainsi que leur répétition dans la durée ne permettent pas, pour cette raison déjà, de qualifier la cause de simple. En outre, la gravité des séquelles des blessures de O.________ ensuite de l’épisode du 22 août 2020 (difficultés neurologiques persistantes) peut, comme elle l’affirme, faire hésiter sur la qualification juridique des infractions à retenir, à savoir s’il s’agit de lésions corporelles simples ou de lésions corporelles graves et, partant, donne de quoi plaider sur l’importance du préjudice subi. On ne saurait, pour cette raison également, retenir que la cause est simple. En définitive, il apparaît que les conditions de l’art. 136 CPP sont remplies et que la désignation d’un conseil juridique gratuit s’impose, d’autant plus que le prévenu est lui-même assisté d’un défenseur d’office.</w:t>
      </w:r>
    </w:p>
    <w:p>
      <w:r>
        <w:rPr>
          <w:b/>
        </w:rPr>
        <w:t>E. 3</w:t>
      </w:r>
    </w:p>
    <w:p>
      <w:r>
        <w:t>Il résulte de ce qui précède que le recours doit être admis et l'ordonnance attaquée réformée en ce sens que O.________ est mise au bénéfice de l'assistance judiciaire dès le 16 septembre, celle-ci comprenant la désignation d’un conseil juridique gratuit en la personne de Me Mathias Micsiz. La désignation de Me Mathias Micsiz en qualité de conseil juridique gratuit vaut également pour la procédure de recours, de sorte que l’avocat sera indemnisé conformément à l’art. 135 CPP, applicable par renvoi de l’art. 138 al. 1 CPP. Selon la liste des opérations produite, qui est adéquate, l’indemnité de conseil juridique gratuit pour la procédure de recours sera fixée à 420 fr., correspondant à une activité nécessaire d’avocat de 2 h 20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8 fr. 40, plus la TVA au taux de 7,7 %, par 33 fr., soit à 462 fr. au total en chiffres arrondis. Vu le sort du recours, les frais de la procédure, constitués en l’espèce de l’émolument d’arrêt, par 990 fr. (art. 20 al. 1 TFIP), et des frais imputables à l’assistance judiciaire gratuite (art. 422 al. 1 et 2 let. a CPP), par 462 fr., seront laissés à la charge de l’Etat (art. 423 al. 1 CPP). Par ces motifs, la Chambre des recours pénale prononce : I. Le recours est admis. II. L’ordonnance du 28 mai 2021 est réformée au chiffre I de son dispositif comme il suit : I. Octroie à O.________ le bénéfice de l’assistance judiciaire avec effet au 16 septembre 2020, celle-ci comprenant la désignation d’un conseil juridique gratuit en la personne de Me Mathias Micsiz . L’ordonnance est confirmée pour le surplus. III. L’indemnité due à Me Mathias Micsiz pour la procédure de recours est fixée à 462 fr. (quatre cent soixante-deux francs). IV. Les frais d’arrêt, par 990 fr. (neuf cent nonante francs), ainsi que l’indemnité due au conseil juridique gratuit de la recourante, par 462 fr. (quatre cent soixante-deux francs), sont laissés à la charge de l’Etat. V. L’arrêt est exécutoire. Le président :               La greffière : Du Le présent arrêt, dont la rédaction a été approuvée à huis clos, est notifié, par l'envoi d'une copie complète, à : - Me Mathias Micsiz, avocat (pour O.________),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