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81 vom 19. Januar 2021</w:t>
      </w:r>
    </w:p>
    <w:p>
      <w:r>
        <w:t>VD Tribunal cantonal, 2021-01-19, FR</w:t>
      </w:r>
    </w:p>
    <w:p>
      <w:r>
        <w:rPr>
          <w:b/>
        </w:rPr>
        <w:t xml:space="preserve">Quelle: </w:t>
      </w:r>
      <w:r>
        <w:t>https://mcp.opencaselaw.ch/entscheid/vd_findinfo_D_cision___2021___81</w:t>
      </w:r>
    </w:p>
    <w:p>
      <w:r>
        <w:t>FR: VD_FINDINFO Décision / 2021 / 81 du 19 janvier 2021</w:t>
      </w:r>
    </w:p>
    <w:p>
      <w:r>
        <w:t>IT: VD_FINDINFO Décision / 2021 / 81 del 19 gennaio 2021</w:t>
      </w:r>
    </w:p>
    <w:p>
      <w:pPr>
        <w:pStyle w:val="Heading2"/>
      </w:pPr>
      <w:r>
        <w:t>Regeste</w:t>
      </w:r>
    </w:p>
    <w:p>
      <w:r>
        <w:t>RESTITUTION DU DÉLAI, CAS DE MALADIE | 393 al. 2 let. a CPP (CH), 94 CPP (CH)</w:t>
      </w:r>
    </w:p>
    <w:p>
      <w:pPr>
        <w:pStyle w:val="Heading2"/>
      </w:pPr>
      <w:r>
        <w:t>Erwägungen</w:t>
      </w:r>
    </w:p>
    <w:p>
      <w:r>
        <w:rPr>
          <w:b/>
        </w:rPr>
        <w:t>E. 1.1</w:t>
      </w:r>
    </w:p>
    <w:p>
      <w:r>
        <w:t>Aux termes de l’art. 393 al. 1 let. a CPP, un recours peut être formé notamment contre les décisions et les actes de procédure du Ministère public. Il doit être adressé par écrit, dans un délai de dix jours dès la notification de la décision attaquée (art. 384 let. b et 396 CPP), à l’autorité de recours qui, dans le canton de Vaud, est la Chambre des recours pénale du Tribunal cantonal (art. 13 LVCPP [loi vaudoise d’introduction du Code de procédure pénale suisse du 19 mai 2009 ; BLV 312.01] ; art. 80 LOJV [loi vaudoise d'organisation judiciaire du 12 septembre 1979 ; BLV 173.01])</w:t>
      </w:r>
    </w:p>
    <w:p>
      <w:r>
        <w:rPr>
          <w:b/>
        </w:rPr>
        <w:t>E. 1.2</w:t>
      </w:r>
    </w:p>
    <w:p>
      <w:r>
        <w:t>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6B_510/2020 du 15 septembre 2020 consid. 2.2 ; TF 1B_472/2019 du 29 octobre 2019 consid. 3.1 ; TF 6B_120/2016 du 20 juin 2016 consid. 3.1).</w:t>
      </w:r>
    </w:p>
    <w:p>
      <w:r>
        <w:rPr>
          <w:b/>
        </w:rPr>
        <w:t>E. 1.3</w:t>
      </w:r>
    </w:p>
    <w:p>
      <w:r>
        <w:t>En l’espèce, le recours a été interjeté en temps utile devant l’autorité compétente par le prévenu qui a qualité pour recourir (art. 382 al. 1 CPP). Le recourant se limite toutefois à reprendre mot pour mot les termes de son opposition, à savoir en substance qu’il est en arrêt maladie depuis 2016, pour cause de burnout suivi d’une dépression, et que cela lui pose des problèmes au quotidien (concentration, absence de repères dans le temps). Ce faisant, il n’expose pas en quoi la motivation du Ministère public serait erronée, notamment s’agissent de l’absence de gravité de sa maladie et le fait qu’il aurait pu agir seul ou par l’intermédiaire d’un mandataire. Dans ces circonstances, le recours apparaît irrecevable. La question de la recevabilité peut toutefois demeurer indécise, le recours devant de toute manière être rejeté pour les motifs qui suivent.</w:t>
      </w:r>
    </w:p>
    <w:p>
      <w:r>
        <w:rPr>
          <w:b/>
        </w:rPr>
        <w:t>E. 2.1</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du 1 er juillet 2019 consid. 2.3 et l'arrêt cité). Doivent être pris en considération, pour déterminer si cette condition est remplie, l'époque à laquelle l'accident ou la maladie sont survenus ainsi que l'ampleur de l'atteinte à la santé (TF 6B_1265/2020 du 8 janvier 2021 consid. 1.1 ; TF 6B_1409/2017 du 12 juin 2018 consid. 3.1 ; cf. ATF 119 II 86 consid. 2a ; ATF 112 V 255 consid. 2a). En outre, celui qui doit s'attendre, au cours d'une procédure, à recevoir des communications officielles est tenu de prendre, en cas d'absence, les mesures nécessaires à la sauvegarde d'un éventuel délai qui pourrait lui être imparti (TF 6B_1150/2017 du 14 mai 2018 consid. 3.1 ; TF 6B_1187/2016 du 6 juillet 2017 consid. 1.2 ; cf. ATF 141 II 429 consid. 3.1 ; ATF 139 IV 228 consid. 1.1). Enfin, il faut que l’absence de faute soit claire ; le Tribunal fédéral en a déduit que toute faute, aussi minime soit-elle, exclut la restitution du délai (TF 6B_1167/2019 du 16 avril 2020 consid. 2.4.2).</w:t>
      </w:r>
    </w:p>
    <w:p>
      <w:r>
        <w:rPr>
          <w:b/>
        </w:rPr>
        <w:t>E. 2.2</w:t>
      </w:r>
    </w:p>
    <w:p>
      <w:r>
        <w:t>En l’espèce, à l’appui de sa requête de restitution de délai du 5 novembre 2020, le recourant n’a produit qu’un certificat médical attestant d’une incapacité de travail du 28 novembre 2016 au 31 octobre 2020. Ce document, qui ne précise pas les causes de l’incapacité, n’établit pas que le recourant était dans l’impossibilité d’agir lui-même dans le délai, qui courait jusqu’au 23 octobre 2020, ou de charger quelqu’un de le faire, étant précisé que l’opposition n’a pas à être motivée. Dans son recours, qu’il a été en mesure de déposer en temps utile, le recourant ne fournit pas plus de précisions à cet égard alors que l’ordonnance entreprise faisait clairement état de cette lacune.</w:t>
      </w:r>
    </w:p>
    <w:p>
      <w:r>
        <w:rPr>
          <w:b/>
        </w:rPr>
        <w:t>E. 3.1</w:t>
      </w:r>
    </w:p>
    <w:p>
      <w:r>
        <w:t>Au vu de ce qui précède, le recours, manifestement mal fondé, doit être rejeté dans la mesure où il est recevable, sans échange d’écritures, et l’ordonnance entreprise confirmée (art. 390 al. 2 CPP).</w:t>
      </w:r>
    </w:p>
    <w:p>
      <w:r>
        <w:rPr>
          <w:b/>
        </w:rPr>
        <w:t>E. 3.2</w:t>
      </w:r>
    </w:p>
    <w:p>
      <w:r>
        <w:t>Les frais d’arrêt, par 550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8 décembre 2020 est confirmée. III. Les frais d’arrêt, par 550 fr. (cinq cent cinquante francs), sont mis à la charge du recourant D.________. IV. L’arrêt est exécutoire. Le président :               La greffière : Du Le présent arrêt, dont la rédaction a été approuvée à huis clos, est notifié, par l'envoi d'une copie complète, à : - D.________,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