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800 vom 26. November 2021</w:t>
      </w:r>
    </w:p>
    <w:p>
      <w:r>
        <w:t>VD Tribunal cantonal, 2021-11-26, FR</w:t>
      </w:r>
    </w:p>
    <w:p>
      <w:r>
        <w:rPr>
          <w:b/>
        </w:rPr>
        <w:t xml:space="preserve">Quelle: </w:t>
      </w:r>
      <w:r>
        <w:t>https://mcp.opencaselaw.ch/entscheid/vd_findinfo_D_cision___2021___800</w:t>
      </w:r>
    </w:p>
    <w:p>
      <w:r>
        <w:t>FR: VD_FINDINFO Décision / 2021 / 800 du 26 novembre 2021</w:t>
      </w:r>
    </w:p>
    <w:p>
      <w:r>
        <w:t>IT: VD_FINDINFO Décision / 2021 / 800 del 26 novembre 2021</w:t>
      </w:r>
    </w:p>
    <w:p>
      <w:pPr>
        <w:pStyle w:val="Heading2"/>
      </w:pPr>
      <w:r>
        <w:t>Regeste</w:t>
      </w:r>
    </w:p>
    <w:p>
      <w:r>
        <w:t>CONTRAINTE{DROIT PÉNAL}, COMMANDEMENT DE PAYER | 181 CP, 310 CPP (CH)</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le plaignant qui a qualité pour recourir (art. 382 al. 1 CPP) et dans les formes prescrites (art. 385 al. 1 CPP),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et les arrêts cités). Certes, faire notifier un commandement de payer lorsque l’on est fondé à réclamer une somme est licite ; en revanche, utiliser un tel procédé comme moyen de pression est clairement abusif, donc illicite (ATF 115 III 18 consid. 3, 81 consid. 3b ; TF 6B_1100/2018 du 17 décembre 2018 consid. 3.3 et les références). Sur le plan subjectif, il faut que l'auteur ait agi intentionnellement, c'est-à-dire qu'il ait voulu contraindre la victime à adopter le comportement visé en étant conscient de l'illicéité de son comportement ; le dol éventuel suffit (ATF 120 IV 17 consid. 2c ; TF 6B_415/2018 du 20 septembre 2018 consid. 2.1.3).</w:t>
      </w:r>
    </w:p>
    <w:p>
      <w:r>
        <w:rPr>
          <w:b/>
        </w:rPr>
        <w:t>E. 3.2.1</w:t>
      </w:r>
    </w:p>
    <w:p>
      <w:r>
        <w:t>Se rend coupable de contrainte au sens de l'art. 181 CP et est punissable d’une peine privative de liberté de trois ans au plus ou d’une peine pécuniaire,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(TF 6B_415/2018 du 20 septembre 2018 consid. 2.1.2 ; ATF 101 IV 42 consid. 3a), la menace est un moyen de pression psychologique consistant à annoncer un dommage futur dont la réalisation est présentée comme dépendante de la volonté de l'auteur, sans toutefois qu'il soit nécessaire que cette dépendance soit effective (TF 6B_415/2018 du 20 septembre 2018 consid. 2.1.2 ; ATF 117 IV 445 consid. 2b ; ATF 106 IV 125 consid. 2a) ni que l'auteur ait réellement la volonté de réaliser sa menace (TF 6B_415/2018 du 20 septembre 2018 consid. 2.1.2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6B_415/2018 du 20 septembre 2018 consid. 2.1.2 ;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 ATF 141 IV 437 consid. 3.2.1 ; ATF 137 IV 326 consid. 3.3.1). Selon la jurisprudence, la contrainte n'est contraire au droit que si elle est illicite (ATF 120 IV 17 consid. 2a et les arrêts cités ; TF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120 IV 17 consid. 2a/bb ; TF 6B_415/2018 du 20 septembre 2018 consid. 2.1.3). Ainsi, menacer d'une plainte pénale pour une infraction que rien ne permet sérieusement de soupçonner est un moyen en soi inadmissible (ATF 120 IV 17 consid. 2a/bb ; TF 6B_415/2018 du 20 septembre 2018 consid. 2.1.3).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du 20 septembre 2018 consid. 2.1.3 et les arrêts cités).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(ATF 142 IV 315 ; TF 6B_153/2017 du 28 novembre 2017 consid.</w:t>
      </w:r>
    </w:p>
    <w:p>
      <w:r>
        <w:rPr>
          <w:b/>
        </w:rPr>
        <w:t>E. 3.2.2</w:t>
      </w:r>
    </w:p>
    <w:p>
      <w:r>
        <w:t>L’action dont dispose le créancier social (en l’espèce l’employé) envers les organes d’une société dépend du type de dommage subi. A cet égard, trois situations sont envisageables (ATF 141 III 112 consid. 5 et les références ; cf. aussi TF 4A_344/2020 du 29 juin 2021 consid. 4) : -              Premièrement, le créancier peut être lésé à titre personnel par le comportement des organes, à l'exclusion de tout dommage causé à la société. Il subit alors un dommage direct. Autrement dit, les organes responsables ont adopté un comportement dont le créancier social (et non la société) est la victime. Dans un tel cas, le créancier lésé peut agir à titre individuel pour réclamer des dommages et intérêts au responsable. Son action est soumise aux règles ordinaires de la responsabilité civile, en particulier aux art. 41 ss CO ; -              Deuxièmement, les manquements des organes sont susceptibles de causer en premier lieu un dommage à la seule société (dommage direct), le créancier n'étant lésé que par ricochet (en cas d'insolvabilité de la société). Tant que la société demeure solvable, c'est-à-dire qu'elle est en mesure d'honorer ses engagements, le dommage reste en effet dans sa seule sphère, sans toucher les créanciers sociaux, qui pourront obtenir le plein de leurs prétentions. C'est seulement lorsque les manquements des organes entraînent l'insolvabilité de la société, puis sa faillite, que le créancier subit une perte qui constitue un dommage par ricochet, ce qui lui ouvre l'action de l'art. 757 al. 2 et 3 CO ; -              En troisième lieu, il existe encore des situations, plus rares, dans lesquelles on discerne à la fois un dommage direct pour le créancier et un dommage direct pour la société. En d'autres termes, le comportement de l'organe porte directement atteinte au patrimoine de la société et à celui du créancier social. Dans cette situation, pour parer au risque d'une compétition entre les actions en responsabilité exercées respectivement par la société ou l'administration de la faillite et par les créanciers directement touchés, la jurisprudence a limité le droit d'agir de ces derniers, afin de donner une priorité à l'action sociale ; ainsi, lorsque la société est aussi lésée, un créancier social peut agir à titre individuel contre un organe en réparation du dommage direct qu'il a subi seulement s'il peut fonder son action sur un acte illicite (art. 41 CO), une culpa in contrahendo ou une norme du droit des sociétés conçue exclusivement pour protéger les créanciers.</w:t>
      </w:r>
    </w:p>
    <w:p>
      <w:r>
        <w:rPr>
          <w:b/>
        </w:rPr>
        <w:t>E. 3.3</w:t>
      </w:r>
    </w:p>
    <w:p>
      <w:r>
        <w:t>En l’espèce, d’un côté, le jugement guinéen du 7 mars 2019 prévoit que la société R.________ doit verser 1'739'963 euros à F.________ pour des travaux effectués sur un site minier, ainsi que 300 millions de francs guinéens à titre de dommages et intérêts ; d’un autre côté, le commandement de payer du 14 septembre 2020 somme X.________, créancier, de verser 1'885'382 fr. 60, avec intérêts à 5 % l’an dès le 28 août 2020, à la société U.________Sàrl, débitrice. Il faut donc relever que le débiteur et le créancier indiqués dans le commandement de payer ne sont pas les mêmes que ceux ressortant du jugement guinéen. Ce jugement ne peut donc pas constituer le titre ou, à défaut, la cause de l’obligation de payer, au sens des art. 67 al. 1 ch.</w:t>
      </w:r>
    </w:p>
    <w:p>
      <w:r>
        <w:rPr>
          <w:b/>
        </w:rPr>
        <w:t>E. 4</w:t>
      </w:r>
    </w:p>
    <w:p>
      <w:r>
        <w:t>En définitive, le recours doit être admis, l'ordonnance entreprise annulée et la cause renvoyée au Ministère public pour qu'il procède dans le sens des considérants. Les frais de la procédure de recours sont fixés à 1’100 fr. (art. 20 al. 1 TFIP [tarif des frais de procédure et indemnités en matière pénale du 28 septembre 2010 ; BLV 312.03.1]). Le recourant, qui a procédé avec l’assistance d’un avocat de choix, a droit à une indemnité pour les dépenses occasionnées par la procédure de recours. Cette indemnité sera fixée à 900 fr., sur la base de 3 heures d’activité au tarif horaire d’avocat de 300 fr. (art. 26a al. 3 TFIP). Il faut y ajouter 2 % pour les débours (art. 19 al. 2 TDC [tarif des dépens en matière civile du 23 novembre 2010 ; BLV 270.11.6] par renvoi de l'art. 26a al. 6 TFIP), soit 18 fr., et 7,7% de TVA sur le tout, soit 70 fr. 70, ce qui correspond à un total en chiffres arrondis de 989 francs. Vu le sort du recours, les frais de procédure, par 1’100 fr., ainsi que l’indemnité allouée au recourant, par 989 fr., seront laissés à la charge de l'Etat (art. 428 al. 4 CPP). Par ces motifs, la Chambre des recours pénale prononce : I. Le recours est admis. II. L’ordonnance du 19 mai 2021 est annulée. III. Le dossier de la cause est renvoyé au Ministère public de l'arrondissement de La Côte pour qu'il procède dans le sens des considérants. IV. Les frais d’arrêt, par 1'100 fr. (mille cent francs), sont laissés à la charge de l’Etat. V. Une indemnité de 989 fr. (neuf cent huitante-neuf francs) est allouée à X.________ pour la procédure de recours, à la charge de l'Etat. VI. L’arrêt est exécutoire. Le président :              La greffière : Du Le présent arrêt, dont la rédaction a été approuvée à huis clos, est notifié, par l'envoi d'une copie complète, à : - Me Antoine Böhler, avocat (pour X.________),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