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 vom 31. Dezember 2020</w:t>
      </w:r>
    </w:p>
    <w:p>
      <w:r>
        <w:t>VD Tribunal cantonal, 2020-12-31, FR</w:t>
      </w:r>
    </w:p>
    <w:p>
      <w:r>
        <w:rPr>
          <w:b/>
        </w:rPr>
        <w:t xml:space="preserve">Quelle: </w:t>
      </w:r>
      <w:r>
        <w:t>https://mcp.opencaselaw.ch/entscheid/vd_findinfo_D_cision___2021___8</w:t>
      </w:r>
    </w:p>
    <w:p>
      <w:r>
        <w:t>FR: VD_FINDINFO Décision / 2021 / 8 du 31 décembre 2020</w:t>
      </w:r>
    </w:p>
    <w:p>
      <w:r>
        <w:t>IT: VD_FINDINFO Décision / 2021 / 8 del 31 dicembre 2020</w:t>
      </w:r>
    </w:p>
    <w:p>
      <w:pPr>
        <w:pStyle w:val="Heading2"/>
      </w:pPr>
      <w:r>
        <w:t>Regeste</w:t>
      </w:r>
    </w:p>
    <w:p>
      <w:r>
        <w:t>DÉTENTION PROVISOIRE, SOUPÇON, RISQUE DE FUITE | 221 al. 1 let. a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 (cf. not. CREP 26 février 2020/130 qui concerne, comme le présent cas, le rejet d’une demande de levée de la détention provisoire).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ATF 143 IV 316 consid. 3.2; TF 1B_139/2020 du 15 avril 2020 consid. 3.1; TF 1B_219/2019 du 4 juin 2019 consid. 2.1). A l'instar du juge du séquestre, le juge de la détention n'est toutefois pas tenu, à ce stade de la procédure, de résoudre des questions juridiques complexes (ATF 141 IV 360 consid. 3.2;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TF 1B_308/2018 du 17 juillet 2018 consid. 2.1).</w:t>
      </w:r>
    </w:p>
    <w:p>
      <w:r>
        <w:rPr>
          <w:b/>
        </w:rPr>
        <w:t>E. 3.1</w:t>
      </w:r>
    </w:p>
    <w:p>
      <w:r>
        <w:t>En l’espèce, le recourant conteste d’abord l’existence de soupçons suffisants à son encontre. Il fait valoir que les infractions incriminées ont été perpétrées par son seul comparse, qui a reconnu les faits en précisant avoir agi seul et à l’insu de son passager; le recourant précise qu’il était, pour sa part, resté dans la voiture et qu’il n’était « pas lié aux faits qui sont survenus à [...] dans la nuit du 10 au 11 décembre 2020 » (recours, p. 5).</w:t>
      </w:r>
    </w:p>
    <w:p>
      <w:r>
        <w:rPr>
          <w:b/>
        </w:rPr>
        <w:t>E. 3.2</w:t>
      </w:r>
    </w:p>
    <w:p>
      <w:r>
        <w:t>Les forts soupçons découlent d’un faisceau d’indices convergents, à savoir : les aveux d’[...]; la présence des deux comparses dans le même véhicule; les outils propres à être utilisés lors d’un cambriolage retrouvés dans la voiture (deux tournevis cruciformes, un tournevis plat et deux clés à fourche); la présence, dans ce véhicule, d’une partie du cylindre endommagé dans la [...], ainsi que de deux bonnets (l’un gris, l’autre noir) et de deux paires de gants. En particulier, les outils saisis apparaissent destinés à être utilisés par deux personnes simultanément, à défaut de quoi la présence conjointe de deux tournevis et de deux clés à fourche de même type ne serait guère explicable. Il en va de même des bonnets et des paires de gants retrouvés, le recourant ayant au demeurant admis qu’un bonnet et une paire de gants lui appartenaient. A ce stade précoce de l’enquête, ces éléments infirment les propos du comparse tendant à mettre hors de cause le recourant. De même, il importe peu que la description du suspect donnée par la personne ayant alerté la police paraisse correspondre davantage à la corpulence d’[...] qu’à celle du recourant. En effet, qu’un individu ait été entraperçu fugitivement dans l’obscurité sur le lieu des faits n’exclut pas l’implication d’un autre. Qui plus est, l’explication donnée par le recourant à sa présence en Suisse apparaît peu plausible. Il soutient que son comparse et lui-même entendaient se rendre à Belfort depuis l’Italie et qu’ils avaient emprunté des routes secondaires pour éviter de payer la vignette autoroutière (PV aud. du 11 décembre 2020, R. 9, p. 5). Même si le recourant travaille dans cette localité française et que ce lieu figurait dans le GPS intégré dans le téléphone de son comparse, il n’en reste pas moins que les faits allégués ne justifient pas leur présence, en pleine nuit, à [...], commune qui ne se trouve pas sur la voie directe en direction de Belfort. En l’état, le rapprochement de ces éléments commande de considérer que le recourant est impliqué dans les actes incriminés. Les soupçons sont donc suffisants à ce stade précoce de l’enquête. La condition préalable à la détention provisoire est ainsi remplie.</w:t>
      </w:r>
    </w:p>
    <w:p>
      <w:r>
        <w:rPr>
          <w:b/>
        </w:rPr>
        <w:t>E. 3.3</w:t>
      </w:r>
    </w:p>
    <w:p>
      <w:r>
        <w:t>Au surplus, le recourant ne conteste pas le risque de fuite. Il suffit de relever à cet égard que l’intéressé, ressortissant roumain, est dépourvu de tout titre de séjour en Suisse. Il loge dans un hôtel à Belfort; de son propre aveu, il travaille au noir dans cette localité; il est célibataire et la mère de ses enfants réside en Italie; il a une concubine au Royaume-Uni (PV aud. du 11 décembre 2020, R. 5, p. 3). A défaut de toute attache du prévenu avec la Suisse, le risque de fuite est manifeste.</w:t>
      </w:r>
    </w:p>
    <w:p>
      <w:r>
        <w:rPr>
          <w:b/>
        </w:rPr>
        <w:t>E. 3.4</w:t>
      </w:r>
    </w:p>
    <w:p>
      <w:r>
        <w:t>Les hypothèses prévues par l'art. 221 al. 1 CPP étant alternatives et non cumulatives (TF 1B_242/2016 du 21 juillet 2016 consid. 5; TF 1B_242/2013 du 5 août 2013 consid. 3; Chaix, op. cit, n. 2 ad art. 221 CPP), point n’est besoin d’examiner le risque de réitération, également invoqué par le Ministère public et que le Tribunal des mesures de contrainte a renoncé à examiner.</w:t>
      </w:r>
    </w:p>
    <w:p>
      <w:r>
        <w:rPr>
          <w:b/>
        </w:rPr>
        <w:t>E. 4.1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ATF 132 I 21 consid. 4.1; TF 1B_238/2017 du 5 juillet 2017 consid. 2.2).</w:t>
      </w:r>
    </w:p>
    <w:p>
      <w:r>
        <w:rPr>
          <w:b/>
        </w:rPr>
        <w:t>E. 4.2</w:t>
      </w:r>
    </w:p>
    <w:p>
      <w:r>
        <w:t>En l’espèce, le recourant conteste la proportionnalité de la détention provisoire. Il se prévaut d’abord de l’absence de soupçons suffisants invoquée par ailleurs. Ce moyen a toutefois déjà été rejeté. Le prévenu conteste ensuite la durée de la détention en relation avec les mesures d’instruction à mettre en œuvre. Il fait valoir à cet égard que l’extraction des données contenues dans les téléphones portables des comparses, ainsi que l’analyse de leurs empreintes digitales et les prélèvements d’ADN peuvent être effectués à bref délai et ne justifient dès lors pas une détention provisoire de trois mois (recours, p. 8). L’enquête implique d’autres mesures d’instruction que celles que mentionne le recourant. Le Tribunal des mesures de contrainte précise en effet qu’une comparaison du cylindre retrouvé dans le véhicule avec la partie laissée sur la porte de la [...] doit être entreprise. En outre, les chaussures portées par les prévenus seront également contrôlées. Il est cependant notoire que l’analyse des traces de semelles relève de la police scientifique et que cet examen et les comparaisons nécessaires prennent quelque temps, tout comme cela est le cas des empreintes digitales. De même, des analyses d’ADN ne sauraient être effectuées en quelques jours seulement, étant ajouté que les décisions ordonnant l’établissement d’un profil ADN ont été rendues le 21 décembre 2020. C’est donc en vain que le recourant invoque le principe de célérité consacré à l’art. 5 CPP. Le prévenu est détenu depuis le 11 décembre 2020. Les faits incriminés sont d’une gravité significative, abstraction faite même du possible concours d’infractions et de la circonstance aggravante de la bande (deux personnes pouvant suffire à constituer une bande; cf. ATF 135 IV 158 consid. 2 et 3; Favre/ Pellet/Stoudmann, Code pénal annoté, 3 e éd., Lausanne 2007/2011, n. 3.1 ad art. 139 CP). Dans ces conditions, la durée de la détention provisoire subie à ce jour demeure à l’évidence proportionnée à la peine privative de liberté susceptible d’être prononcée, ce d’autant que l’enquête n’en est qu’à ses débuts.</w:t>
      </w:r>
    </w:p>
    <w:p>
      <w:r>
        <w:rPr>
          <w:b/>
        </w:rPr>
        <w:t>E. 5</w:t>
      </w:r>
    </w:p>
    <w:p>
      <w:r>
        <w:t>Il résulte de ce qui précède que le recours, manifestement mal fondé, doit être rejeté sans échange d’écritures (art. 390 al. 2 CPP) et l’ordonnance du 14 décembre 2020 confirmée. Les frais de la procédure de recours, par 880 fr. (art. 20 al. 1 TFIP [tarif des frais de procédure et indemnités en matière pénale du 28 septembre 2010; BLV 312.03.1]), ainsi que les frais imputables à la défense d’office (art. 422 al. 1 et 2 let. a CPP), fixés à 395 fr. 45, montant arrondi à 395 fr., qui comprennent des honoraires par 360 fr., des débours forfaitaires par 7 fr. 20 (cf. art. 26b TFIP qui renvoie à l'art. 3 bis RAJ [règlement sur l’assistance judiciaire en matière civile du 7 décembre 2010; BLV 211.02.3]) et la TVA sur le tout, au taux de 7,7%, par 28 fr. 45,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14 décembre 2020 est confirmée. III. L’indemnité allouée au défenseur d’office de N.________ est fixée à 395 fr. (trois cent nonante-cinq francs). IV. Les frais d’arrêt, par 880 fr. (huit cent huitante francs), ainsi que l’indemnité due au défenseur d’office de N.________, par 395 fr. (trois cent nonante-cinq francs), sont mis à la charge de ce dernier. V. Le remboursement à l'Etat de l'indemnité allouée au chiffre III ci-dessus ne sera exigible que pour autant que la situation financière de N.________ le permette. VI. L’arrêt est exécutoire. La vice-présidente : Le greffier : Du Le présent arrêt, dont la rédaction a été approuvée à huis clos, est notifié, par l'envoi d'une copie complète, à : - Me Patricia Spack Isenrich, avocate (pour N.________), - Ministère public central, et communiqué à : - Mme la Présidente du Tribunal des mesures de contrainte, - M. le Procureur du Ministère public cantonal Strada,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