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786 vom 19. März 2021</w:t>
      </w:r>
    </w:p>
    <w:p>
      <w:r>
        <w:t>VD Tribunal cantonal, 2021-03-19, FR</w:t>
      </w:r>
    </w:p>
    <w:p>
      <w:r>
        <w:rPr>
          <w:b/>
        </w:rPr>
        <w:t xml:space="preserve">Quelle: </w:t>
      </w:r>
      <w:r>
        <w:t>https://mcp.opencaselaw.ch/entscheid/vd_findinfo_D_cision___2021___786</w:t>
      </w:r>
    </w:p>
    <w:p>
      <w:r>
        <w:t>FR: VD_FINDINFO Décision / 2021 / 786 du 19 mars 2021</w:t>
      </w:r>
    </w:p>
    <w:p>
      <w:r>
        <w:t>IT: VD_FINDINFO Décision / 2021 / 786 del 19 marzo 2021</w:t>
      </w:r>
    </w:p>
    <w:p>
      <w:pPr>
        <w:pStyle w:val="Heading2"/>
      </w:pPr>
      <w:r>
        <w:t>Regeste</w:t>
      </w:r>
    </w:p>
    <w:p>
      <w:r>
        <w:t>IN DUBIO PRO DURIORE, ADMISSION DE LA DEMANDE, VIOL, CONTRAINTE SEXUELLE | 189 CP, 190 CP, 319 CPP (CH), 393 al. 1 let. a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du 19 mai 2009; BLV 312.01]; art. 80 LOJV [Loi vaudoise d’organisation judiciaire du 12 décembre 1979; BLV 173.01]).</w:t>
      </w:r>
    </w:p>
    <w:p>
      <w:r>
        <w:rPr>
          <w:b/>
        </w:rPr>
        <w:t>E. 1.2</w:t>
      </w:r>
    </w:p>
    <w:p>
      <w:r>
        <w:t>En l’espèce, interjeté en temps utile devant l’autorité compétente par la partie plaignante qui a qualité pour recourir (art. 382 al. 1 CPP), et satisfaisant aux conditions de forme prescrites (art. 385 al. 1 CPP), le recours est recevable.</w:t>
      </w:r>
    </w:p>
    <w:p>
      <w:r>
        <w:rPr>
          <w:b/>
        </w:rPr>
        <w:t>E. 2.1</w:t>
      </w:r>
    </w:p>
    <w:p>
      <w:r>
        <w:t>et les arrêts cités). Partant, il n’est en l’état pas possible d’exclure que les relations sexuelles, ainsi que des actes d’ordre sexuel, tels que des sodomies ou des pénétrations avec des objets, auxquels la recourante n’a pas consenti, ont été obtenus sous la contrainte psychique. Dans tous les cas, un acquittement n’apparaît pas plus vraisemblable qu’une condamnation. La procédure doit donc se poursuivre pour viol et contrainte sexuelle. S’agissant ensuite de la contrainte par la force, la recourante a, lors du dépôt de sa plainte, indiqué que, fréquemment, lorsque son mari regardait des vidéos pornographiques, il l’aurait obligée à le masturber ou à lui prodiguer une fellation, précisant que « par exemple, il me prenait les cheveux et me forçait à lui lécher le sexe, les boules partout ». Elle a également expliqué que parfois, il utilisait la force pour arriver à ses fins, en lui tenant fortement les jambes et qu’une fois qu’il l’avait pénétrée, elle ne pouvait plus s’en défaire, car il la tenait. Ces faits non pas été retenus par le Ministère public. Or, à supposer avérés, ils apparaissent toutefois constitutifs de contrainte sexuelle et de viol. En définitive, le grief de violation du principe " in dubio pro duriore " soulevé par la recourante s'avère fondé. Il convient donc d’annuler l’ordonnance attaquée et de renvoyer la cause au Ministère public pour qu’il dresse un acte d’accusation, après avoir procédé à des mesures d’instruction complémentaires s’il l’estime nécessaire.</w:t>
      </w:r>
    </w:p>
    <w:p>
      <w:r>
        <w:rPr>
          <w:b/>
        </w:rPr>
        <w:t>E. 2.2.1</w:t>
      </w:r>
    </w:p>
    <w:p>
      <w:r>
        <w:t>Aux termes de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[let. a] ou consentement de celle-ci au classement [let. b]). La décision de classer la procédure doit être prise en application du principe " in dubio pro duriore ".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ATF 138 IV 86 consid. 4.1.2 p. 91 et les références citées ; TF 6B_1164/2020 du 10 juin 2021 consid. 2.1). L'autorité de recours ne saurait ainsi confirmer un classement au seul motif qu'une condamnation n'apparaît pas plus probable qu'un acquittement (TF 6B_1164/2020 précité consid. 2.1 ; TF 6B_116/2019 du 11 mars 2019 consid. 2.1; TF 6B_1239/2018 du 11 mars 2019 consid. 3.1.2 et les arrêts cités).</w:t>
      </w:r>
    </w:p>
    <w:p>
      <w:r>
        <w:rPr>
          <w:b/>
        </w:rPr>
        <w:t>E. 2.2.2</w:t>
      </w:r>
    </w:p>
    <w:p>
      <w:r>
        <w:t>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(ATF 143 IV 241 consid. 2.2.2 p. 243 et les arrêts cités; TF 6B_1164/2020 précité consid. 2.2 ; TF 6B_874/2017 du 18 avril 2018 consid. 5.1).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TF 6B_1164/2020 précité consid. 2.2 ; TF 6B_116/2019 précité consid. 2.1; TF 6B_1239/2018 précité consid. 3.1.2 et les arrêts cités).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6B_1164/2020 précité consid. 2.2 ; TF 6B_1239/2018 précité consid. 3.1.2 et les arrêts cités). Déterminer si l'autorité précédente a correctement compris la portée du principe " in dubio pro duriore " et s'est fondée sur une notion juridiquement correcte du "soupçon suffisant" visé par l'art. 319 al. 1 let. a CPP est une question de droit, soumis au libre examen du Tribunal fédéral. Le principe " in dubio pro duriore ", en tant que règle de droit, est notamment violé lorsque l'instance précédente a admis dans ses considérants un soupçon suffisant mais, pour des motifs ne concernant pas l'objet du litige et en violation de son pouvoir d'appréciation, n'a pas engagé l'accusation, lorsqu'il ressort des considérants de l'arrêt attaqué que l'autorité précédente a établi l'état de fait comme un juge du fond, en faisant application du principe " in dubio pro reo " ou lorsqu'elle a méconnu de toute autre manière le principe " in dubio pro duriore " (ATF 143 IV 241 consid. 2.3.3 p. 245 ss; TF 6B_1164/2020 précité consid. 2.2 ; TF 6B_116/2019 précité consid. 2.1; TF 6B_1239/2018 précité consid. 3.1.2 et les arrêts cités).</w:t>
      </w:r>
    </w:p>
    <w:p>
      <w:r>
        <w:rPr>
          <w:b/>
        </w:rPr>
        <w:t>E. 2.2.3</w:t>
      </w:r>
    </w:p>
    <w:p>
      <w:r>
        <w:t>A teneur de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Selon l'art. 190 al. 1 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Les art. 189 et 190 CP visent à protéger la libre détermination en matière sexuelle, en réprimant l'usage de la contrainte aux fins d'amener une personne à faire ou à subir, sans son consentement, l'acte sexuel ou un autre acte d'ordre sexuel (ATF 131 IV 107 consid. 2.2 p. 109; TF 6B_1164/2020 précité consid. 3.1 ; TF 6B_146/2020 du 5 mai 2020 consid. 2.1; TF 6B_159/2020 du 20 avril 2020 consid. 2.4.1). Il s'agit de délits de violence, qui doivent être considérés principalement comme des actes d'agression physique (ATF 131 IV 107 consid. 2.2 p. 109 et les arrêts cités; TF 6B_1164/2020 précité consid. 3.1 ; TF 6B_146/2020 précité consid. 2.1; TF 6B_1164/2020 précité consid. 3.1 ; TF 6B_159/2020 précité consid. 2.4.1). Pour qu'il y ait contrainte en matière sexuelle, il faut que la victime ne soit pas consentante, que l'auteur le sache ou accepte cette éventualité et qu'il passe outre en profitant de la situation ou en utilisant un moyen efficace (ATF 122 IV 97 consid. 2b p. 100; TF 6B_1164/2020 précité consid. 3.1 ; TF 6B_935/2020 du 25 février 2021 consid. 4.1; TF 6B_159/2020 précité consid. 2.4.1). Les art. 189 et 190 CP ne protègent des atteintes à la libre détermination en matière sexuelle que pour autant que l'auteur surmonte ou déjoue la résistance que l'on pouvait raisonnablement attendre de la victime (ATF 133 IV 49 consid. 4 p. 52 s. et l'arrêt cité; TF 6B_1164/2020 précité consid. 3.1 ; TF 6B_935/2020 précité consid. 4.1). En introduisant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128 IV 106 consid. 3a/bb p. 110 s.; ATF 122 IV 97 consid. 2b p. 100 ; TF 6B_1164/2020 précité consid. 3.1). Ainsi, l'infériorité cognitive et la dépendance émotionnelle et sociale peuvent - en particulier chez les enfants - induire une pression psychique extraordinaire et, partant, une soumission comparable à la contrainte physique, les rendant incapables de s'opposer à des atteintes sexuelles. La jurisprudence parle de " violence structurelle " pour désigner cette forme de contrainte d'ordre psychique commise par l'instrumentalisation de liens sociaux. La pression psychique générée par l'auteur et son effet sur la victime doivent atteindre une intensité particulière (ATF 131 IV 167 consid. 3.1 p. 170 s. et les références citées; TF 6B_1164/2020 précité consid. 3.1 ; TF 6B_935/2020 précité consid. 4.1; TF 6B_693/2020 du 18 janvier 2021 consid. 3.1). Pour déterminer si l'on se trouve en présence d'une contrainte sexuelle, il faut procéder à une appréciation globale des circonstances concrètes déterminantes (ATF 131 IV 107 consid. 2.2 p. 109; TF 6B_1164/2020 précité consid. 3.1 ; TF 6B_935/2020 précité consid. 4.1).</w:t>
      </w:r>
    </w:p>
    <w:p>
      <w:r>
        <w:rPr>
          <w:b/>
        </w:rPr>
        <w:t>E. 2.3</w:t>
      </w:r>
    </w:p>
    <w:p>
      <w:r>
        <w:t>En l'espèce, il est constant que les accusations formulées par la recourante s'inscrivent dans un contexte qui renvoie à la configuration dite du délit commis " entre quatre yeux ". En outre, les déclarations des parties sont irréductiblement contradictoires sur la question décisive de la contrainte physique et psychologique. Sachant que la mise en accusation du prévenu constitue en principe la règle dans un tel contexte, la question litigieuse est celle de savoir si des éléments permettent de s'en écarter pour confirmer le classement. A cet égard, on relèvera d’abord que la recourante n’a pas fait de dépositions contradictoires, susceptibles de rendre ses accusations d’emblée moins crédibles. Au contraire, elle a pris le soin de ne pas acculer le prévenu en exagérant les faits dénoncés, précisant que celui-ci ne l’avait jamais violentée physiquement et qu’il ne l’avait jamais menacée en vue d’obtenir des rapports sexuels avec elle. Or, la description faite par la recourante de sa vie de couple rabaissante et humiliante est confirmée tant par les propres dires du prévenu que par les déclarations du frère de la recourante et celles de la fille de cette dernière. Enfin, le Ministère public entend poursuivre, après avoir annoncé un acte d'accusation, la sodomie forcée dont aurait été victime M.X.________ entre le mois de décembre 2018 et le mois de janvier 2019, suivant en cela les allégations de cette dernière et faisant fi des dénégations du prévenu. Certes, il existe différents éléments de nature à fragiliser les accusations de la recourante, soit l'absence de constat médico-légal objectivant ses dires ou d'autres éléments corroboratifs indirects tels que des confidences faites à des tiers. Toutefois, ces motifs n'apparaissent pas – au stade d'une discussion qui doit s'appréhender à l'aune du principe " in dubio pro duriore " – suffisamment déterminants pour permettre d'anticiper l'issue d'une procédure devant le juge du fond. Cela étant, s’agissant d’abord de la question de la contrainte psychique, le Ministère public l’a isolée d’un contexte qui apparaît tout à fait singulier. Certes, la recourante a expliqué qu’elle entendait par pressions psychologiques des paroles du prévenu telles que « viens, moi je t’aime » et « tu es ma femme quand même », ce qui a priori n’apparaît pas atteindre une intensité telle que la victime était sans espoir. Toutefois, les pressions psychologiques évoquées par la recourante, soit que son époux lui mettait une telle pression en la poussant à bout dans ses derniers retranchements qu’elle finissait par lui concéder des rapports sexuels non désirés, s’inscrivent dans un contexte plus large que les explications précitées, dans lequel la recourante reproche au prévenu de nombreuses violences verbales et des mauvais traitements sur une longue durée, sans compter les difficultés psychologiques constatées par sa psychiatre, soit déprime, anxiété et irritabilité. Il faut aussi tenir compte du contexte culturel et familial de la recourante, qui pourrait impliquer des pressions familiales en défaveur d’une séparation ou d’un divorce, des tabous en matière de sexualité, ainsi que des croyances selon lesquelles un mari a le droit de forcer son épouse à répondre aux devoirs conjugaux. Il faut également tenir compte des autres éléments invoqués par la recourante, soit sa situation d’infériorité physique et cognitive, étant précisé que la recourante a été victime d’un accident de la route, lequel lui aurait provoqué un traumatisme crânien qui aurait nécessité plusieurs opérations et dont elle garderait des séquelles, sa situation de dépendance sociale et affective, la présence de ses enfants, qui l’empêchaient de se débattre et de crier, ainsi que le caractère et l’attitude du prévenu, décrit notamment comme quelqu’un d’odieux, de manipulateur et qui ne respecte pas l’autorité (cf. PV aud. 1, p. 2, l. 40 ss : le procureur demande au prévenu de changer de comportement et de ne pas s’avachir sur la chaise et le prévenu lui répond : « je fais ce que je veux »). Cela étant, eu égard aux enjeux liés à la poursuite des infractions contre l'intégrité sexuelle, le Tribunal fédéral a souligné à plusieurs reprises dans sa jurisprudence récente que les déclarations de la victime constituaient un élément de preuve qu'il incombe au juge du fond d'apprécier librement, dans le cadre d'une évaluation globale de l'ensemble des éléments probatoires figurant au dossier (TF 6B_238/2020 du 14 décembre 2020 consid. 1.3; TF 6B_772/2020 du 8 décembre 2020 consid. 1.3; TF 6B_219/2020 du 4 août 2020 consid.</w:t>
      </w:r>
    </w:p>
    <w:p>
      <w:r>
        <w:rPr>
          <w:b/>
        </w:rPr>
        <w:t>E. 3</w:t>
      </w:r>
    </w:p>
    <w:p>
      <w:r>
        <w:t>Il résulte de ce qui précède que le recours doit être admis, l’ordonnance attaquée annulée et le dossier de la cause renvoyé au Ministère public de l’arrondissement de Lausanne pour qu’il procède dans le sens des considérants. L’avocate Zakia Arnouni, qui avait été désignée le 3 mars 2020 comme conseil juridique gratuite de la recourante, a requis d’être désignée à nouveau en cette qualité pour la procédure de recours. Cette requête est superflue. L’assistance judiciaire vaut pour toutes les étapes de la procédure et ne prend fin qu’à l’épuisement des voies de droit régies par le CPP, l’assistance judiciaire pour la procédure devant le Tribunal fédéral faisant en revanche l’objet d’une nouvelle décision de ce dernier (art. 64 LTF [Loi sur le Tribunal fédéral du 17 juin 2005 ; RS 173.110]). Il n’y a ainsi pas matière à nouvelle désignation par l’autorité de recours d’un conseil juridique gratuit déjà désigné par l’autorité inférieure. Le conseil juridique gratuit de la recourante a produit une liste d’opérations faisant état d’une durée totale d’activité de 9h17 (P. 39). Cette durée est un peu élevée. Au vu de la nature de la cause et de l’acte de recours, le poste « Recherches juridiques », pour lequel l’avocate a consacré 50 minutes, et le poste « Rédaction du recours CREP », pour lequel l’avocate a consacré 5h00, seront réduits à un total de 4h00. En outre, le poste « Travail post-décision (estimation) », pour lequel l’avocate a comptabilité 40 minutes, sera supprimé. En définitive, il sera retenu 6h47 d’activité nécessaire d’avocat breveté. Les frais de la procédure de recours, constitués de l’émolument d’arrêt, par 1'320 fr. (art. 20 al. 1 TFIP [tarif des frais de procédure et indemnités en matière pénale du 28 septembre 2010; BLV 312.03.1]), et des frais imputables à l’assistance judiciaire gratuite (art. 422 al. 1 et 2 let. a CPP), fixés à 1’221 fr. (6h47 au tarif horaire de 180 fr.), auxquels il convient d’ajouter des débours forfaitaires à concurrence de 2%, par 24 fr. 40, plus la TVA, par 95 fr. 90, soit à 1’342 fr. au total en chiffres arrondis, ainsi que des frais imputables à la défense d’office (art. 422 al. 1 et 2 let. a CPP), fixés à 720 fr. (4h d’activité nécessaire d’avocat breveté au tarif horaire de 180 fr.), auxquels il convient d’ajouter des débours forfaitaires à concurrence de 2%, par 14 fr. 40, plus la TVA, par 56 fr. 50, soit à 791 fr. au total en chiffres arrondis, seront laissés à la charge de l’Etat (art. 423 al. 1 CPP), l’intimé s’en étant remis à justice. Par ces motifs, la Chambre des recours pénale prononce : I. Le recours est admis. II. L’ordonnance du 14 janvier 2021 est annulée. III. Le dossier de la cause est renvoyé au Ministère public de l’arrondissement de Lausanne pour qu’il procède dans le sens des considérants. IV. L’indemnité allouée au conseil juridique gratuit de M.X.________ est fixée à 1'342 fr. (mille trois cent quarante-deux francs). V. L’indemnité allouée au défenseur d’office de B.X.________ est fixée à 791 fr. (sept cent nonante et un francs). VI. Les frais d’arrêt, par 1'320 fr. (mille trois cent vingt francs), ainsi que l’indemnité allouée au conseil juridique de M.X.________, par 1'342 fr. (mille trois cent quarante-deux francs), et l’indemnité allouée au défenseur d’office de B.X.________, par 791 fr. (sept cent nonante et un francs), sont laissés à la charge de l’Etat. VII. L’arrêt est exécutoire. Le président :               La greffière : Du Le présent arrêt, dont la rédaction a été approuvée à huis clos, est notifié, par l'envoi d'une copie complète, à : - Me Zakia Arnouni, avocate (pour M.X.________), - Me Michael Stauffacher, avocat (pour B.X.________), - Ministère public central ; et communiqué à : ‑ M. le Procureur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