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783 vom 6. September 2021</w:t>
      </w:r>
    </w:p>
    <w:p>
      <w:r>
        <w:t>VD Tribunal cantonal, 2021-09-06, FR</w:t>
      </w:r>
    </w:p>
    <w:p>
      <w:r>
        <w:rPr>
          <w:b/>
        </w:rPr>
        <w:t xml:space="preserve">Quelle: </w:t>
      </w:r>
      <w:r>
        <w:t>https://mcp.opencaselaw.ch/entscheid/vd_findinfo_D_cision___2021___783</w:t>
      </w:r>
    </w:p>
    <w:p>
      <w:r>
        <w:t>FR: VD_FINDINFO Décision / 2021 / 783 du 6 septembre 2021</w:t>
      </w:r>
    </w:p>
    <w:p>
      <w:r>
        <w:t>IT: VD_FINDINFO Décision / 2021 / 783 del 6 settembre 2021</w:t>
      </w:r>
    </w:p>
    <w:p>
      <w:pPr>
        <w:pStyle w:val="Heading2"/>
      </w:pPr>
      <w:r>
        <w:t>Regeste</w:t>
      </w:r>
    </w:p>
    <w:p>
      <w:r>
        <w:t>EXÉCUTION ANTICIPÉE DES PEINES ET DES MESURES, DÉTENTION PROVISOIRE, REJET DE LA DEMANDE | 236 al. 1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(Stephenson/Thiriet, in : Niggli et alii [édit.], Basler Kommentar, Schweizerische Strafprozessordnung, Jugendstraf-prozessordnung, 2 e éd., Bâle 2014, n. 10 ad art. 393 CPP ; Frei/Zuberbühler Elsässer, in : Donatsch et alii [édit.], Kommentar zur Schweizerischen Strafprozessordnung, StPO, 3 e éd., 2020, n. 17 ad art. 236 CPP ; CREP 18 janvier 2021/44 consid. 1 ; CREP 9 mars 2020/180 et les arrêts cités).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auprès de l’autorité compétente par le prévenu qui a qualité pour recourir (art. 382 al. 1 CPP) et dans les formes prescrites (art. 385 al. 1 CPP), le recours est recevable.</w:t>
      </w:r>
    </w:p>
    <w:p>
      <w:r>
        <w:rPr>
          <w:b/>
        </w:rPr>
        <w:t>E. 2.1</w:t>
      </w:r>
    </w:p>
    <w:p>
      <w:r>
        <w:t>Le recourant demande à pouvoir exécuter sa peine de manière anticipée. Il conteste la motivation du Ministère public pour s’y opposer et soutient que l’absence d’aveux ne ferait pas obstacle au régime de l’exécution anticipée de peine. Il invoque également que le risque de collusion, qui n’a au demeurant pas été retenu par le Tribunal des mesures de contrainte pour ordonner la prolongation de sa détention provisoire, ne justifierait pas le refus de passage en exécution anticipée de peine, sa présence n’étant notamment pas immédiatement nécessaire à l’administration des preuves.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 TF 1B_372/2019 du 27 août 2019 consid. 2.1). La poursuite de la détention sous la forme de l'exécution anticipée de la peine présuppose tout d'abord l'existence d'un des motifs de détention provisoire prévus à l'art. 221 al. 1 let. a, b ou c CPP et sa durée doit respecter le principe de la proportionnalité (ATF 143 IV 160 consid. 2.1 ;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L'art. 236 al. 1 in fine CPP suppose que le « stade de la procédure »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du 27 août 2019 consid. 2.1 ; TF 1B_189/2014 du 28 juillet 2014 consid. 2.3 et réf. cit.).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du 27 août 2019 consid. 2.1 ;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du 24 mars 2020 consid. 2.1 ; 1B_372/2019 du 27 août 2019 consid. 2.1 ; TF 1B_186/2018 du 8 mai 2018 consid. 2.1 ; TF 1B_400/2017 du 18 octobre 2017 consid. 2.1 ; TF 1B_127/2017 du 20 avril 2017 consid. 2.1). Un danger de collusion n'exclut cependant pas nécessairement la mise en place d'une exécution anticipée de peine. Cela étant, dans l'intérêt de l'instruction, ce motif de détention peut justifier alors de limiter certains allégements qu'offre ce régime (cf. art. 236 al. 4 CPP ; ATF 133 I 270 consid. 3.2.1).</w:t>
      </w:r>
    </w:p>
    <w:p>
      <w:r>
        <w:rPr>
          <w:b/>
        </w:rPr>
        <w:t>E. 2.2.2</w:t>
      </w:r>
    </w:p>
    <w:p>
      <w:r>
        <w:t>L’art. 236 al. 1 CPP n’impose pas que le prévenu passe aux aveux pour bénéficier du régime de l’exécution anticipée de sa peine, quand bien même il est logique de concevoir que seul le prévenu qui reconnaît les faits fasse en principe une telle demande, des aveux complets facilitant en outre la mise en œuvre du régime de l’exécution anticipée sous l’angle du risque de collusion ; cela étant, un aveu seulement partiel ne s’oppose pas à l’exécution anticipée de la peine, la question du risque de collusion devant toutefois être alors examinée avec attention (cf. Dupuis et alii [éd.], Petit commentaire CP, 2 e éd., Bâle 2017, n. 9 ad art. 236 CPP et réf. cit., spéc. TF 6B_90/2012 du 21 mars 2012 ; CREP 18 janvier 2021/44 consid. 2.3).</w:t>
      </w:r>
    </w:p>
    <w:p>
      <w:r>
        <w:rPr>
          <w:b/>
        </w:rPr>
        <w:t>E. 2.3</w:t>
      </w:r>
    </w:p>
    <w:p>
      <w:r>
        <w:t>in fine ). Partant, il y a lieu de confirmer le rejet de la demande d’exécution anticipée de peine.</w:t>
      </w:r>
    </w:p>
    <w:p>
      <w:r>
        <w:rPr>
          <w:b/>
        </w:rPr>
        <w:t>E. 3</w:t>
      </w:r>
    </w:p>
    <w:p>
      <w:r>
        <w:t>Il résulte de ce qui précède que le recours, manifestement mal fondé, doit être rejeté sans échange d'écritures (art. 390 al. 2 CPP) et l'ordonnance attaquée confirmée. Vu le sort du recours, les frais de la procédure, constitués en l’espèce de l’émolument d'arrêt, par 880 fr. (art. 20 al. 1 TFIP [tarif des frais judiciaires et indemnités en matière pénale du 28 septembre 2010 ; BLV 312.03.1]), et des frais imputables à la défense d’office d’R.________ (art. 422 al. 1 et 2 let. a CPP) fixés, conformément à la liste des opérations produite et dont il n’y a pas lieu de s’écarter, à 648 fr., correspondant à 3 heures et 36 minutes d’activité d’avocat breveté au tarif horaire de 180 fr., auxquels il convient d’ajouter des débours forfaitaires à concurrence de 2 % (art. 2 al. 1 let. a et 3bis  al. 1 RAJ [règlement sur l'assistance judiciaire en matière civile du 7 décembre 2010 ; BLV 211.02.3], applicables par renvoi de l’art. 26b TFIP), par 12 fr. 95, plus la TVA, par 50 fr. 90, soit à 712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août 2021 est confirmée. III. L’indemnité allouée au défenseur d’office d’R.________ est fixée à 712 fr. (sept cent douze francs). IV. Les frais d’arrêt, par 880 fr. (huit cent huitante francs), ainsi que l’indemnité due au défenseur d’office du recourant, par 712 fr. (sept cent douze francs), sont mis à la charge d’R.________. V. Le remboursement à l’Etat de l’indemnité allouée au chiffre III ci-dessus ne sera exigible que pour autant que la situation financière d’R.________ le permette. VI. L’arrêt est exécutoire. Le président :               La greffière : Du Le présent arrêt, dont la rédaction a été approuvée à huis clos, est notifié, par l'envoi d'une copie complète, à : - Me Olivier Boschetti,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