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768 vom 30. Juni 2021</w:t>
      </w:r>
    </w:p>
    <w:p>
      <w:r>
        <w:t>VD Tribunal cantonal, 2021-06-30, FR</w:t>
      </w:r>
    </w:p>
    <w:p>
      <w:r>
        <w:rPr>
          <w:b/>
        </w:rPr>
        <w:t xml:space="preserve">Quelle: </w:t>
      </w:r>
      <w:r>
        <w:t>https://mcp.opencaselaw.ch/entscheid/vd_findinfo_D_cision___2021___768</w:t>
      </w:r>
    </w:p>
    <w:p>
      <w:r>
        <w:t>FR: VD_FINDINFO Décision / 2021 / 768 du 30 juin 2021</w:t>
      </w:r>
    </w:p>
    <w:p>
      <w:r>
        <w:t>IT: VD_FINDINFO Décision / 2021 / 768 del 30 giugno 2021</w:t>
      </w:r>
    </w:p>
    <w:p>
      <w:pPr>
        <w:pStyle w:val="Heading2"/>
      </w:pPr>
      <w:r>
        <w:t>Regeste</w:t>
      </w:r>
    </w:p>
    <w:p>
      <w:r>
        <w:t>PLAINTE PÉNALE, DÉLAI, NON-LIEU, ADMISSION DE LA DEMANDE | 134 CP, 31 CP, 319 al. 1 CPP (CH)</w:t>
      </w:r>
    </w:p>
    <w:p>
      <w:pPr>
        <w:pStyle w:val="Heading2"/>
      </w:pPr>
      <w:r>
        <w:t>Erwägungen</w:t>
      </w:r>
    </w:p>
    <w:p>
      <w:r>
        <w:rPr>
          <w:b/>
        </w:rPr>
        <w:t>E. 1.1</w:t>
      </w:r>
    </w:p>
    <w:p>
      <w:r>
        <w:t>La PPMin (Loi fédérale sur la procédure pénale applicable aux mineurs du 20 mars 2009 ; RS 312.1) régit la poursuite et le jugement des infractions prévues par le droit fédéral commises par des mineurs au sens de l’art.</w:t>
      </w:r>
    </w:p>
    <w:p>
      <w:r>
        <w:rPr>
          <w:b/>
        </w:rPr>
        <w:t>E. 1.2</w:t>
      </w:r>
    </w:p>
    <w:p>
      <w:r>
        <w:t>A la suite des événements du 16 mars 2020, A.L.________ a déposé plainte contre Z.________ et contre M.________.  Deux procédures pénales distinctes – PM20.018832-VBK-APN et PM20.018835-VBK-APN – ont été ouvertes et instruites par la Présidente du Tribunal des mineurs qui a rendu une ordonnance de classement pour chacun des deux prévenus. Dans la mesure où ces deux procédures pénales reposent sur les mêmes faits, qu’elles soulèvent les mê­mes questions juridi­ques, que les pièces et les procès-verbaux d’audition sont identiques et que le conseil du recourant a déposé deux recours contre les ordon­nances de classement en développant la même argumentation et en prenant les mêmes conclusions s’agissant des deux prévenus, il y a lieu, pour des motifs évidents d’économie de procédure, de joindre les deux causes devant l’autorité de recours et de statuer dans un seul arrêt sur les deux recours déposés par A.L.________. 2. 2.1 Selon l’art. 319 al. 1 CPP, applicable au Juge des mineurs en vertu du renvoi de l’art. 3 al. 1 et 2 PPMin, le classement de tout ou partie de la procédure est ordonné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2.2 2.2.1 L’art. 134 CP (Code pénal suisse du 21 décembre 1937 ; RS 311.0) réprime par une peine privative de liberté de cinq ans au plus ou d’une peine pécuniaire le comportement de celui qui aura participé à une agression dirigée contre une ou plusieurs personnes au cours de laquelle l’une d’entre elles ou un tiers aura trouvé la mort ou subi une lésion corporelle. L’agression se singularise par le caractère unilatéral des actes de violence exercés par les agresseurs ; ceux-ci sont à l’origine des violences exercées contre la ou les victimes, dont le rôle demeure essentiellement passif (Dupuis et alii, Code pénal, Petit commentaire, 2 e éd. 2017, n. 3 ad art. 134 CP). Pour que les éléments constitutifs de l’agression, qui est une infraction de mise en danger, soient réunis, il faut que l’une ou plusieurs des personnes agressées soient blessées ou tuées. Il s’agit-là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6B_373/2011 du 14 janvier 2011 consid. 3.2). La poursuite de cette infraction intervient d’office.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S’il peut être établi que l’un des agresseurs, intentionnellement ou par négligence, cause des lésions corporelles, l’infraction de lésion visées par les art. 122 ss CP absorbe, en ce qui le concerne, l’agression au sens de l’art. 134 CP ; en effet, l’infraction de lésions corporelles saisit et réprime déjà la mise en danger effective de la personne blessée lors de l’infraction ; dès lors un concours entre les art. 134 CP et 122 ss CP ne peut être envisagé, lorsqu’une seule personne est blessée, que si lors de l’agression elle n’a subi que des lésions corporelles simples mais que la mise en danger a dépassé en intensité le résultat intervenu (ATF 135 IV 152 consid. 2.1.2 ; TF 6B_373/2011 précité consid. 3.3).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absorbante est effectivement sanctionnée ; lorsque tel ne peut être le cas, par exemple en l’absence de plainte nécessaire, l’intéressé reste condamnable en vertu de l’infraction en principe absorbée (TF 6B_373/2011 précité consid. 3.4 et les références citées). 2.2.2 Aux termes de l'art. 30 al. 1 CP, si une infraction n'est punie que sur plainte, toute personne lésée peut porter plainte contre l'auteur. Selon l'art. 31 CP, le droit de porter plainte se prescrit par trois mois. Le délai court du jour où l'ayant droit a connu l'auteur de l'infraction (ATF 144 IV 161 consid. 2). Le point de départ du délai est la connaissance de l'auteur et bien entendu également de l'infraction. La connaissance par l'ayant droit doit être sûre et certaine, de sorte qu'il puisse considérer qu'une procédure dirigée contre l'auteur aura de bonnes chances de succès (ATF 142 IV 129 consid. 4.3 ; ATF 126 IV 131 consid. 2a).</w:t>
      </w:r>
    </w:p>
    <w:p>
      <w:r>
        <w:rPr>
          <w:b/>
        </w:rPr>
        <w:t>E. 3</w:t>
      </w:r>
    </w:p>
    <w:p>
      <w:r>
        <w:t>al. 1 et 2 PPMin). Selon l’art. 30 PPMin, l’autorité d’instruction – qui, dans le canton de Vaud, est le juge des mineurs (art. 3 al. 1 let. b et 8 LVPPMin [Loi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 Niggli/Heer/ Wiprächtiger [éd.], Basler Kommentar, Schweizerische Strafprozessordnung, Jugendstrafprozessordnung, Art. 196-457 StPO – Art. 1-54 JStPO, 2 e éd., Bâle 2014, n. 1 ad art. 30 PPMin). 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En l’espèce, interjetés en temps utile devant l’autorité compétente, par la partie plaignante qui a qualité pour recourir (art. 382 al. 1 CPP) et dans les formes prescrites (art. 385 al. 1 CPP), les recours de A.L.________, représenté par sa mère (art. 106 al. 2 CPP), sont recevables.</w:t>
      </w:r>
    </w:p>
    <w:p>
      <w:r>
        <w:rPr>
          <w:b/>
        </w:rPr>
        <w:t>E. 3.1</w:t>
      </w:r>
    </w:p>
    <w:p>
      <w:r>
        <w:t>Le recourant conteste les classements et l’appréciation de la Juge des mineurs selon laquelle sa plainte du 16 août 2020 est tardive. Il fait valoir que sa mère aurait contacté les services de police immédiatement après les faits avec la ferme intention de déposer plainte, que cette prise de contact aurait été confirmée par l’agent [...] dans un courriel du 16 février 2021 qui aurait dit s’être probablement mal exprimé et ne pas avoir été suffisamment clair, que cet écrit devrait figurer au dossier, que B.L.________ aurait été persuadée d’avoir déposé plainte, comme le montrent ses échanges de messages électroniques avec la police et le Municipal des écoles de la Ville de Lausanne, qu’elle ne serait pas restée inactive et que, au moment de son agression, il n’aurait connu ses agres­seurs que de vue.</w:t>
      </w:r>
    </w:p>
    <w:p>
      <w:r>
        <w:rPr>
          <w:b/>
        </w:rPr>
        <w:t>E. 3.2</w:t>
      </w:r>
    </w:p>
    <w:p>
      <w:r>
        <w:t>A la lecture des courriers électroniques produits devant la Cour de céans, on comprend que B.L.________, mère du plaignant, s’est adressée à la Police de Lausanne le 16 mars 2020, soit le jour des faits, et qu’elle en a déduit qu’une plainte avait été enregistrée. Dans ses échanges de courriels avec la Direction de l’école et avec le municipal [...] (P. 9/2/5, P. 9/2/7 et P. 9/2/9), B.L.________ a fait clairement référence au dépôt d’une plainte pénale auprès de la police et au fait qu’elle devrait la compléter ultérieurement par la production d’un constat médical, ce qu’elle a fait le 24 avril 2020. Or, lors de l’audition de son fils le 9 décembre 2020 (PV aud. 3), B.L.________ a expliqué à la Juge des mineurs qu’ils s’étaient tous deux rendus à l’Hôtel de police le jour-même des faits, que la police lui avait dit qu’elle ne pouvait pas prendre sa plainte avant que son fils n’ait fait un constat à l’Hôpital de l’enfance, qu’elle avait ensuite eu plusieurs échanges de mails avec la police, qu’elle lui avait transmis le constat médical et qu’au mois d’août 2020, elle avait relancé la police avec laquelle elle avait convenu de refaire le point à mi-septembre. Les explications données par B.L.________ à la Présidente du Tribunal des mineurs laissent alors plutôt penser qu’elle avait compris qu’aucune plainte pénale n’avait été enregistrée immédiatement, mais qu’elle le serait après la production d’un constat médical. Force est dès lors de constater que l’agent [...] n’a pas été très clair avec B.L.________ et que plusieurs éléments permettant de déterminer si A.L.________ a déposé sa plainte à temps n’ont pas été élucidés à satisfaction à ce stade. En effet, la Cour de céans ne discerne pas ce qui aurait pu empêcher l’enregistrement d’une plainte pénale avant un constat médical. L’agent indique par ailleurs dans son courriel du 16 février 2021 (P. 9/2/11) que, à son souvenir, une trace écrite de la prise de contact de B.L.________ du 16 mars 2020 a été enregistrée dans la base de données de la police. Aussi, il convient de vérifier si ces informa­tions figurent dans cette base de données, d’examiner le contenu des messages électroni­ques échangés entre B.L.________ et la police auxquels celle-ci s’est référée lors de l’audition de son fils du 9 décembre 2020 et de déterminer ce qui s’est réellement passé. Le recourant ne saurait quoi qu’il en soit supporter les consé­quences d’une prise en charge défaillante de la part de la police lors de l’enregis­trement de sa plainte. Partant, il convient d’annuler les ordonnances sur ce point et de renvoyer les dossiers au Tribunal des mineurs pour complément d’instruction sur les éléments en lien avec la question du respect du délai de l’art. 31 CP pour déposer plainte, la date de la connaissance des auteurs de l’attaque n’étant au demeurant pas probléma­tique, puisqu’il ressort clairement du dossier que A.L.________ connais­sait ses deux assaillants et qu’il pouvait, le cas échéant, demander leurs noms au doyen de l’école avec lequel il s’était entretenu immédiatement après les faits (PV aud. 3 ll. 32-33).</w:t>
      </w:r>
    </w:p>
    <w:p>
      <w:r>
        <w:rPr>
          <w:b/>
        </w:rPr>
        <w:t>E. 4.1</w:t>
      </w:r>
    </w:p>
    <w:p>
      <w:r>
        <w:t>Le recourant reproche ensuite à la juge des mineurs de ne pas avoir retenu l’infraction d’agression, faisant valoir que Z.________ l’aurait aussi frappé, comme l’attesterait les déclarations d’C.________.</w:t>
      </w:r>
    </w:p>
    <w:p>
      <w:r>
        <w:rPr>
          <w:b/>
        </w:rPr>
        <w:t>E. 4.2</w:t>
      </w:r>
    </w:p>
    <w:p>
      <w:r>
        <w:t>La première juge a considéré que la participation de Z.________ pouvait être exclue et que même s’il était présent au moment des faits, il n’aurait pas donné de coups et aurait tout au plus séparé A.L.________ de M.________.</w:t>
      </w:r>
    </w:p>
    <w:p>
      <w:r>
        <w:rPr>
          <w:b/>
        </w:rPr>
        <w:t>E. 4.3</w:t>
      </w:r>
    </w:p>
    <w:p>
      <w:r>
        <w:t>La Cour de céans constate que lors de ses auditions des 7 octobre 2020 (P. 4) et 27 janvier 2021 (PV aud. 5) par la Présidente du Tribunal des mineurs, M.________ a déclaré que son comparse Z.________ n’avait donné aucun coup à A.L.________. Or, tout porte à croire que cette version des faits ne correspond pas à ce qui s’est réellement passé. En effet, en cours d’enquête, M.________ a menti sur sa propre participation, minimisant son rôle en affir­mant qu’il n’aurait donné qu’une gifle au recourant, alors que l’instruction a permis d’établir qu’il avait donné « plusieurs coups », comme l’ont affirmé le plaignant et les témoins C.________ et G.________ (PV aud. 2 et PV aud. 5). De plus, M.________ a accusé le plaignant d’avoir lui-même giflé C.________, ce que cette dernière a expressément contesté (PV aud. 5). On constate également qu’C.________, qui est au centre de l’altercation litigieuse, a été très claire lors de sa première audition en affirmant qu’elle avait vu M.________ et Z.________ donner un coup à A.L.________ (PV aud. 2 R. 5 et R. 7). Lors de sa seconde audition le 27 janvier 2021 (PV aud. 5 ll. 71-77 et ll. 102-102), C.________ a confirmé ses premières déclarations, expliquant que les deux prévenus avaient donné plusieurs coups à A.L.________ et que Z.________ ne s’était pas contenté de séparer M.________ et A.L.________. Aussi, au vu des déclarations d’C.________, qui corroborent les accusations du recourant, on peine à comprendre pour quelle raison la juge des mineurs a considéré, à ce stade, que les témoignages d’C.________ et de G.________ ne permettaient pas de trancher en faveur de l’une ou de l’autre des versions divergentes des prévenus et du plaignant, et a exclu toute parti­cipation de Z.________ à une agression sur cette base. Partant, la participation de Z.________ aux faits litigieux ne peut être exclue à ce stade, bien au contraire. Il faut plutôt retenir qu’un verdict de culpabilité à l’encontre de Z.________ est très probable et que la mise en accusation des deux prévenus pour agression, infraction poursuivie d’office en présence de lésions corporelles – non contestées ni contestables en l’espèce –, s’impose, quelle que soit l’issue des mesu­res d’instruction en lien avec la question du respect du délai pour déposer plainte. Au vu du résultat de cette instruction, une mise en accusation pour l’infraction de lésions corporelles simples se justifiera le cas échéant, ainsi que la résolution de la question d’un concours entre les deux infractions en cause (cf. supra consid. 2.2.1).</w:t>
      </w:r>
    </w:p>
    <w:p>
      <w:r>
        <w:rPr>
          <w:b/>
        </w:rPr>
        <w:t>E. 5</w:t>
      </w:r>
    </w:p>
    <w:p>
      <w:r>
        <w:t>Il résulte de ce qui précède que les recours interjetés par A.L.________ doivent être admis et les ordonnances entreprises annulées, les dossiers des deux causes étant renvoyés à la Présidente du Tribunal des mineurs pour qu’elle procède dans le sens des considérants. Le recourant, qui obtient gain de cause et qui a procédé avec l’assistance d’un avocat de choix, a droit à une indemnité pour les dépenses occasionnées par l’exercice raisonnable de ses droits pour la procédure de recours. Compte tenu du fait que les contenus des deux recours déposés par le mandataire du recourant sont quasiment identiques, cette indemnité sera fixée à 900 fr. pour 3 heures d’activité nécessaire d’avocat au tarif horaire de 300 fr. (art. 26a al. 3 TFIP [Tarif des frais de procédure et indemnités en matière pénale du 28 septembre 2010 ; BLV 312.03.1]), montant auquel il faut ajouter 2 % pour les débours (art. 19 al. 2 TDC [Tarif des dépens en matière civile du 23 novembre 2010 ; BLV 270.11.6] par renvoi de l’art. 26a al. 6 TFIP), par 18 fr., et la TVA sur le tout au taux de 7,7 %, par 70 fr. 70, ce qui correspond à la somme totale arrondie de 989 francs. Vu le sort de la cause, elle sera laissée à la charge de l’Etat (art. 428 al. 4 CPP). Les frais de la procédure de recours, par 1'331 fr., constitués en l'espèce de l'émolument d'arrêt réduit de moitié, par 935 fr. (art. 20 al. 1 et al. 2 TFIP), et des frais imputables à la défense d'office de l’intimé Z.________ (art. 422 al. 1 et 2 let. a CPP), fixés à 360 fr. sur la base d’une durée d’activité nécessaire d’avocat de 2h au tarif horaire de 180 fr., auxquels il convient d’ajouter des débours forfaitaires à concurrence de 2 % (art. 2 al. 1 let. a et 3bis al. 1 RAJ [Règlement sur l’assistance judiciaire en matière civile du 7 décembre 2010 ; BLV 211.02.3], applicables par renvoi de l’art. 26b TFIP), par 7 fr. 20, et la TVA, par 28 fr. 30, soit à 396 fr. au total en chiffres arrondis, seront laissés à la charge de l’Etat (art. 428 al. 4 CPP). Par ces motifs, la Chambre des recours pénale prononce : I. Les procédures de recours sont jointes. II. Les recours sont admis. III. Les ordonnances du 28 avril 2021 sont annulées. IV. Les dossiers des deux causes sont renvoyés à la Présidente du Tribunal des mineurs pour qu’elle procède dans le sens des considérants. V. Une indemnité de 989 fr. (neuf cent huitante-neuf francs) est allouée à A.L.________ pour ses dépenses occasionnées par la procédure de recours, à la charge de l’Etat. VI. L’indemnité allouée au défenseur d’office de Z.________ est fixée à 396 fr. (trois cent nonante-six francs). VII. Les frais de la procédure de recours, par 1'331 fr. (mille trois cent trente-et-un francs), y compris l’indemnité due au défenseur d’office de Z.________, par 396 fr. (trois cent nonante-six francs), sont laissés à la charge de l’Etat. VIII. L’arrêt est exécutoire. Le président :               La greffière : Du Le présent arrêt, dont la rédaction a été approuvée à huis clos, est notifié, par l'envoi d'une copie complète, à : - Me Olivier Carré, avocat (pour A.L.________), - Me José Coret, avocat (pour Z.________) - M. M.________, - Mme S.________ et M. R.________ (pour leur fils M.________), - Ministère public central, et communiqué à : ‑ Mme la Présidente du Tribunal des mineurs, - Mme la Procureure du Ministère public central, division affaires spéciales, - Service de la population, division étrangers (Z.________, né le [...]2002 ; M.________, né le [...]2006),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