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757 vom 10. August 2021</w:t>
      </w:r>
    </w:p>
    <w:p>
      <w:r>
        <w:t>VD Tribunal cantonal, 2021-08-10, FR</w:t>
      </w:r>
    </w:p>
    <w:p>
      <w:r>
        <w:rPr>
          <w:b/>
        </w:rPr>
        <w:t xml:space="preserve">Quelle: </w:t>
      </w:r>
      <w:r>
        <w:t>https://mcp.opencaselaw.ch/entscheid/vd_findinfo_D_cision___2021___757</w:t>
      </w:r>
    </w:p>
    <w:p>
      <w:r>
        <w:t>FR: VD_FINDINFO Décision / 2021 / 757 du 10 août 2021</w:t>
      </w:r>
    </w:p>
    <w:p>
      <w:r>
        <w:t>IT: VD_FINDINFO Décision / 2021 / 757 del 10 agosto 2021</w:t>
      </w:r>
    </w:p>
    <w:p>
      <w:pPr>
        <w:pStyle w:val="Heading2"/>
      </w:pPr>
      <w:r>
        <w:t>Regeste</w:t>
      </w:r>
    </w:p>
    <w:p>
      <w:r>
        <w:t>NON-LIEU, ADMISSION DE LA DEMANDE, COFFRE-FORT, POSSESSEUR, VOL{DROIT PÉNAL}, APPROPRIATION ILLÉGITIME | 137 ch. 1 CP, 139 ch. 1 CP, 310 CPP (CH)</w:t>
      </w:r>
    </w:p>
    <w:p>
      <w:pPr>
        <w:pStyle w:val="Heading2"/>
      </w:pPr>
      <w:r>
        <w:t>Erwägungen</w:t>
      </w:r>
    </w:p>
    <w:p>
      <w:r>
        <w:rPr>
          <w:b/>
        </w:rPr>
        <w:t>E. 1</w:t>
      </w:r>
    </w:p>
    <w:p>
      <w:r>
        <w:t>Interjeté en temps utile (art. 310 al. 2 et 322 al. 2 CPP), contre une ordonnance de non-entrée en matière rendue par le Ministère public (art. 393 al. 1 let. a CPP), par la partie plaignante qui a qualité pour recourir (art. 382 al. 1 CPP) et dans les formes prescrites (art. 385 al. 1 CPP), le recours est recevable. Quant à la qualité pour recourir du plaignant, il doit être précisé qu’elle n’est pas affectée par le fait que les biens meubles dont il dénonce l’appropriation illégitime, respectivement le vol, font l’objet d’une ordonnance de séquestre au sens de l’art. 274 LP, le cas de séquestre étant celui de l’art. 271 al. 1 ch.</w:t>
      </w:r>
    </w:p>
    <w:p>
      <w:r>
        <w:rPr>
          <w:b/>
        </w:rPr>
        <w:t>E. 6</w:t>
      </w:r>
    </w:p>
    <w:p>
      <w:r>
        <w:t>LP, à savoir constitué par un titre de mainlevée définitive contre le débiteur Z.________ en faveur de la créancière J.________ (cf. annexe à la P. 8).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précité,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du 25 janvier 2019; TF 6B_1365/2017 du 27 juin 2018 consid. 3.3 et les références citées; Moreillon/Parein-Reymond, Petit commentaire du Code de procédure pénale, 2 e éd., Bâle 2016, n. 4 ad art. 310 CPP). 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 2.2 Avant toute autre considération, il doit être précisé que l’audition de J.________ à laquelle la police a procédé le 14 avril 2021 n’empêchait pas le Ministère public de rendre une ordonnance de non-entrée en matière. En effet, cette audition tendait uniquement à circonscrire l’objet de la plainte, de sorte qu’elle ne constituait qu’une investigation préliminaire au sens de la jurisprudence résumée ci-dessus. Le droit de participer à l'administration des preuves ne s'appliquant en principe pas avant l'ouverture d'une instruction (art. 147 al. 1 CPP a contrario, déjà cité), c’est en vain que le recourant invoque une violation de son droit d’être entendu en excipant des principes généraux issus du droit constitutionnel. 3. 3.1 Faisant grief à la Procureure d’une violation du principe « in dubio pro duriore », le recourant soutient que J.________ « n’a [vait] pas démontré que les montres litigieuses lui appartenaient ». En particulier, une attestation d’assurance, un certificat de garantie ou une évaluation ne sauraient, selon lui, avoir de force probante à cet égard. Il conteste en outre avoir offert toute montre à son ex-compagne. Il considère ainsi qu’en présence de tels doutes, une instruction pénale devrait être ouverte. 3.2 3.2.1 Aux termes de l’art. 137 ch. 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Cette disposition présuppose notamment l'appropriation d'une chose mobilière appartenant à autrui, ainsi qu'un dessein d'enrichissement illégitime de la part de l'auteur (TF 6B_375/2020 du 9 juillet 2020 consid. 3.3; TF 6B_1043/2015 du 9 décembre 2015 consid. 4.2.1 et les références citées). L'acte d'appropriation signifie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ATF 118 IV 148 consid. 2a, JdT 1994 IV 105). 3.2.2 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 notion de vol ne se distingue de celle de l'appropriation illégitime qu'au regard des modalités d'appropriation de la chose. Pour qu'il y ait vol, il faut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Elle présuppose la disposition effective de la chose et la volonté de la posséder (ATF 132 IV 108 consid. 2.1 p. 110; TF 6B_375/2020 du 9 juillet 2020 consid. 3.4; TF 6B_1056/2018 du 29 janvier 2019 consid. 2.3.2; TF 6B_243/2014 du 15 juillet 2014 consid. 2.3). 3.3 3.3.1 La question à trancher est celle de savoir si le dossier permet, en l’état, de retenir que les éléments constitutifs de l’infraction ou que les conditions à l’ouverture de l’action pénale ne sont manifestement pas réunis au sens de l’art. 310 al. 1 let. a CPP, seul mentionné par l’ordonnance. Les hypothèses prévues par l’art. 310 al. 1 let. b et c CPP ne sont en effet pas en cause. 3.3.2 Certes, l’attestation d’assurance et l’évaluation produites par J.________ sont libellées à son nom; en outre, le courriel du plaignant du 21 juillet 2019 à son intention comporte notamment le passage suivant « (…) A propos d’Ebel, la classique 1911 or et acier – un peu plus grande – même modèle – que celle que je t’avais offerte il y a bien longtemps est tienne (…). En fait, elles sont toutes à toi, surtout la Rolex – lunette or blanc – que je suis allé chercher exprès pour toi à Munich en juillet 2015 ! (…) ». Pour autant, une attestation d’assurance ou une évaluation ne constituent pas des titres prouvant la propriété des meubles sur lesquels ils portent. Il est en effet parfaitement concevable qu’une montre de luxe soit assurée par son possesseur (non propriétaire), soit, en particulier, par son dépositaire; aucun principe ne commande que le preneur d’assurance soit le propriétaire du bien assuré. Quant au courriel invoqué, l’animus donandi qui en découle ne paraît porter que sur une pièce déterminée, à savoir la montre Ebel Classique 1911 ; les autres montres, singulièrement celle de marque Rolex, ne sont pas désignées avec précision par le donateur. Partant, on ne peut, en l’état, rattacher ce courriel aux montres litigieuses. Enfin, le certificat de garantie portant sur la montre de marque Tudor n’est pas libellé nominativement (annexe à la P. 8). Le fait que J.________ soit détentrice de ce titre n’apparaît pas déterminant en l’état, dès lors, précisément, que le plaignant allègue que ce document se trouvait entreposé avec la montre à laquelle il se rapporte. En revanche, il doit, en l’état, être présumé que le plaignant est propriétaire du contenu du coffre, comme il l’allègue expressément (recours, p. 2). En effet, l’ordonnance de séquestre du 12 juin 2020, en exécution de laquelle le coffre a été forcé sous l’autorité de l’office des poursuites, était dirigée contre le plaignant et portait sur les montres de sa propriété entreposées dans le coffre, à l’exclusion de tout autre bien meuble. Il est constant que ce coffre était entreposé dans le logement occupé par J.________. Du reste, si le coffre a été forcé, c’est bien du fait que J.________ ne pouvait pas l’ouvrir faute d’en disposer des moyens, soit de la clé, respectivement du code d’ouverture. Il ne saurait ainsi, en l’état, être considéré que J.________ est (légitime) possesseuse, à plus forte raison propriétaire, des montres litigieuses (cf. not. ATF 132 III 155 consid. 4.1 in fine p. 159), quand bien même elle est au bénéfice d’une ordonnance de séquestre portant sur les montres contenues dans le coffre; au demeurant, une telle ordonnance ne sert que de garantie. Partant, on ne peut exclure une infraction contre le patrimoine, s’agissant notamment de celles d’appropriation illégitime ou de vol. 4. Il y a donc matière à ouvrir une instruction pénale. Il appartient à la Procureure de procéder à toute mesure d’instruction qu’elle tiendra pour indiquée. 5. En définitive, le recours doit être admis et l’ordonnance de non-entrée en matière attaquée annulée. Le dossier de la cause sera renvoyé au Ministère public de l’arrondissement du Nord vaudois pour qu’il procède dans le sens des considérants (art. 397 al. 2 CPP). Les frais de la procédure de recours, par 990 fr. (art. 20 al. 1 TFIP [tarif des frais de procédure et indemnités en matière pénale du 28 septembre 2010; BLV 312.03.1]), seront laissés à la charge de l’Etat (art. 423 al. 1 CPP). Le recourant, qui a procédé avec l’assistance d’un conseil de choix et qui a obtenu gain de cause, a droit, à la charge de l’Etat, à une pleine indemnité pour les dépenses obligatoires occasionnées par la procédure de recours (art. 433 al. 1 let. a CPP, applicable par renvoi de l’art. 436 al. 1 CPP). Il convient de retenir une activité raisonnable de deux heures d’avocat au total. Le tarif horaire sera fixé à 300 fr. pour tenir compte du degré de complexité de la cause (art. 26a al. 4 TFIP). A ces honoraires doivent être ajoutés des débours forfaitaires à concurrence de 2 % (art. 19 al. 2 TDC [Tarif des dépens en matière civile du 23 novembre 2010; BLV 270.11.6], applicable par analogie par renvoi de l’art. 26a al. 6 TFIP) par 12 fr., plus un montant correspondant à la TVA par 47 fr. 15. L’indemnité s’élève ainsi à 660 fr. en chiffres arrondis. Par ces motifs, la Chambre des recours pénale prononce : I. Le recours est admis. II. L’ordonnance du 8 juillet 2021 est annulée. III. Le dossier de la cause est renvoyé au Ministère public de l’arrondissement du Nord vaudois pour qu’il procède dans le sens des considérants. IV. Les frais d’arrêt, par 990 fr. (neuf cent nonante francs), sont laissés à la charge de l’Etat. V. Une indemnité de 660 fr. (six cent soixante francs) est allouée à Z.________ pour la procédure de recours, à la charge de l’Etat. VI. L’arrêt est exécutoire. Le président :               Le greffier : Du Le présent arrêt, dont la rédaction a été approuvée à huis clos, est notifié, par l'envoi d'une copie complète, à : - Me Laurent Schuler, avocat (pour Z.________), - Me Mireille Loroch, avocate (pour J.________),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