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756 vom 11. August 2021</w:t>
      </w:r>
    </w:p>
    <w:p>
      <w:r>
        <w:t>VD Tribunal cantonal, 2021-08-11, FR</w:t>
      </w:r>
    </w:p>
    <w:p>
      <w:r>
        <w:rPr>
          <w:b/>
        </w:rPr>
        <w:t xml:space="preserve">Quelle: </w:t>
      </w:r>
      <w:r>
        <w:t>https://mcp.opencaselaw.ch/entscheid/vd_findinfo_D_cision___2021___756</w:t>
      </w:r>
    </w:p>
    <w:p>
      <w:r>
        <w:t>FR: VD_FINDINFO Décision / 2021 / 756 du 11 août 2021</w:t>
      </w:r>
    </w:p>
    <w:p>
      <w:r>
        <w:t>IT: VD_FINDINFO Décision / 2021 / 756 del 11 agosto 2021</w:t>
      </w:r>
    </w:p>
    <w:p>
      <w:pPr>
        <w:pStyle w:val="Heading2"/>
      </w:pPr>
      <w:r>
        <w:t>Regeste</w:t>
      </w:r>
    </w:p>
    <w:p>
      <w:r>
        <w:t>RÉCUSATION, EXPERT, REJET DE LA DEMANDE | 183 al. 3 CPP (CH), 56 CPP (CH), 58 CPP (CH)</w:t>
      </w:r>
    </w:p>
    <w:p>
      <w:pPr>
        <w:pStyle w:val="Heading2"/>
      </w:pPr>
      <w:r>
        <w:t>Erwägungen</w:t>
      </w:r>
    </w:p>
    <w:p>
      <w:r>
        <w:rPr>
          <w:b/>
        </w:rPr>
        <w:t>E. 1.1</w:t>
      </w:r>
    </w:p>
    <w:p>
      <w:r>
        <w:t>Selon une jurisprudence constante, l'autorité de recours au sens de l'art. 20 CPP (Code de procédure pénale suisse du 5 octobre 2007 ; RS 312.0) est l'autorité compétente pour statuer sur une demande de récusation visant un expert, conformément à l'art. 59 al. 1 let. b CPP applicable par analogie (TF 1B_488/2011 du 2 décembre 2011 consid. 1.1 ; cf. également TF 1B_36/2020 du 8 mai 2020 consid. 2.2 et les arrêts cités), soit, dans le canton de Vaud, la Chambre des recours pénale (art. 13 al. 1 LVCPP [loi vaudoise d'introduction du Code de procédure pénale suisse du 19 mai 2009 ; BLV 312.01]).</w:t>
      </w:r>
    </w:p>
    <w:p>
      <w:r>
        <w:rPr>
          <w:b/>
        </w:rPr>
        <w:t>E. 1.2</w:t>
      </w:r>
    </w:p>
    <w:p>
      <w:r>
        <w:t>Conformément à l'art. 58 al. 1 CPP, la récusation doit être demandée sans délai, dès que la partie a connaissance du motif de récusation, c'est-à-dire dans les jours qui suivent la connaissance de la cause de récusation (TF 1B_118/2020 du 27 juillet 2020 et les références citées ; TF 1B_335/2019 du 16 janvier 2020 consid. 3.1.2 et l'arrêt cité), sous peine de déchéance (ATF 140 I 271 consid. 8.4.3 et les arrêts cités). Il est en effet contraire aux règles de la bonne foi de garder ce moyen en réserve pour ne l'invoquer qu'en cas d'issue défavorable ou lorsque l'intéressé se serait rendu compte que l'instruction ne suivait pas le cours désiré (ATF 143 V 66 consid. 4.3 ; ATF 139 III 120 consid. 3.2.1 ; TF 6B_1424/2017 du 18 juin 2018 consid. 3.2 et l’arrêt cité).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(TF 1B_576/2020 du 3 décembre 2020 consid. 2.1 ; TF 1B_420/2020 du 28 octobre 2020 consid. 3.1 ; TF 1B_113/2020 du 16 avril 2020 consid. 3). Il incombe à la partie qui se prévaut d'un motif de récusation de rendre vraisemblable qu'elle a agi en temps utile, en particulier de rendre vraisemblable le moment de la découverte de ce motif (TF 1B_305/2019 du 26 novembre 2019 consid. 3.2.1 ; TF 1B_502/2018 du 12 novembre 2018 consid. 4 et les références citées). Le Tribunal fédéral a déjà jugé que, lorsque seule l'accumulation de plusieurs incidents fondait l'apparence d'une prévention, il devait être tenu compte, dans l'examen de l'éventuel caractère tardif d'une requête de récusation, du fait que le requérant ne puisse réagir à la hâte et doive, le cas échéant, attendre afin d'éviter le risque que sa requête soit rejetée. Il devait ainsi être possible, en lien avec des circonstances nouvellement découvertes, de faire valoir des faits déjà connus, si seule une appréciation globale permettait d'admettre un motif de récusation, bien qu'en considération de chaque incident pris individuellement, la requête n'aurait pas été justifiée. Si plusieurs occurrences fondaient seulement ensemble un motif de récusation, celle-ci pouvait être demandée lorsque, de l'avis de l'intéressé, la dernière de ces occurrences était la « goutte d'eau qui faisait déborder le vase » (TF 1B_118/2020 précité consid. 3.2 ; TF 1B_22/2020 du 18 mars 2020 consid. 3.3 ; TF 1B_357/2013 du 24 janvier 2014 consid. 5.3.1). Dans un tel cas, l'examen des événements passés, dans le cadre d'une appréciation globale, n'est admis que pour autant que la dernière occurrence constitue en elle-même un motif de récusation ou à tout le moins un indice en faveur d'une apparence de prévention (TF 1B_118/2020 précité ; TF 1B_305/2019 précité consid. 3.4.2.1 ; TF 1B_357/2013 précité consid. 5.3.3.1 et 5.4).</w:t>
      </w:r>
    </w:p>
    <w:p>
      <w:r>
        <w:rPr>
          <w:b/>
        </w:rPr>
        <w:t>E. 2.1</w:t>
      </w:r>
    </w:p>
    <w:p>
      <w:r>
        <w:t>Le requérant soutient que la prise de contact immédiate et unilatérale de l’expert avec la partie plaignante, et a fortiori la fixation d’une rencontre avec celle-ci, alors que le délai de recours contre le mandat de complément d’expertise n’était pas encore échu, susciterait des doutes quant à son indépendance et à son impartialité, ce d’autant plus que l’expert n’aurait pas pris la peine d’avertir les autres personnes intéressées, soit lui-même, E.________ et B.________, de sa démarche. Pour le surplus, il se réfère aux moyens développés par E.________ dans son acte de recours, soit à l’omission de l’expert de signer les rapports d’expertise et au fait que ces éléments devraient être appréhendés dans le contexte des affirmations faites par l’expert dans le rapport d’expertise civile du mois de janvier 2019, où celui-ci aurait imputé aux prévenus des « agissements frauduleux » et des « contrats frauduleux », ainsi qu’une « belle combine », lors d’un contact téléphonique.</w:t>
      </w:r>
    </w:p>
    <w:p>
      <w:r>
        <w:rPr>
          <w:b/>
        </w:rPr>
        <w:t>E. 2.2</w:t>
      </w:r>
    </w:p>
    <w:p>
      <w:r>
        <w:t>L'art. 56 let. f CPP – applicable aux experts en vertu du renvoi de l'art. 183 al. 3 CPP – prévoit que toute personne exerçant une fonction au sein d'une autorité pénale est récusable « lorsque d'autres motifs, notamment un rapport d'amitié étroit ou d'inimitié avec une partie ou son conseil, sont de nature à la rendre suspecte de prévention ». Cette disposition a la portée d'une clause générale recouvrant tous les motifs de récusation non expressément prévus aux lettres précédentes de l'art. 56 CPP (ATF 143 IV 69 consid. 3.2). Elle concrétise les droits déduits de l'art. 29 al. 1 Cst. (Constitution fédérale de la Confédération suisse du 18 avril 1999 ; RS 101) garantissant l'équité du procès et assure au justiciable une protection équivalente à celle de l'art. 30 al. 1 Cst. s'agissant des exigences d'impartialité et d'indépendance requises d'un expert (ATF 141 IV 178 consid. 3.2.2). Les parties à une procédure ont donc le droit d'exiger la récusation d'un expert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de l'expert est établie, car une disposition interne de sa part ne peut guère être prouvée. Il suffit que les circonstances donnent l'apparence de la prévention et fassent redouter une activité partiale de sa part ; seules les circonstances constatées objectivement doivent être prises en considération ; les impressions purement individuelles d'une des parties au procès ne sont pas décisives (ATF 143 IV 69 précité ; TF 1B_335/2019 du 16 janvier 2020 consid. 4.1 ; TF 1B_261/2018 du 24 octobre 2018 consid. 2.1). La récusation revêt un caractère exceptionnel (ATF 131 I 24 consid. 1.1 ; TF 1B_123/2013 du 26 avril 2013 consid. 3.2 et la référence citée ; TF 1B_243/2012 du 9 mai 2012 consid. 2.1). Parmi les circonstances qui donnent l’apparence d’une prévention de l’expert figurent des situations où il existe une proximité particulière dans les relations entre l’expert d’une part et l’une des parties, respectivement la question à juger, d’autre part ; d’après la jurisprudence du Tribunal fédéral, n’importe quelle relation entre ceux-ci ne suffit toutefois pas (ATF 125 II 541 consid. 4b ; Heer, in : Niggli/Heer/Wiprächtiger [éd.], Basler Kommentar, Schweizerische Strafprozessordnung, Jugendstrafprozessordnung, Art. 1-195 StPO, 2 e éd., Bâle 2014, n. 23 ad art. 183 StPO). Il y a en outre motif à récusation lorsque l’expert affiche son antipathie à l’égard de l’une des parties par des gestes ou des propos déplacés ; c’est également le cas s’il dit à des tiers qu’il estime le prévenu coupable, ou si, lors de sa nomination, il exprime déjà des opinions tranchées quant à l’issue de l’expertise (Vuille, in : Jeanneret et al. [éd.], Commentaire romand, Code de procédure pénale suisse, 2 e éd., Bâle 2019 [ci-après : Commentaire romand], n. 19 ad art. 183 CPP ; CREP 18 septembre 2020/680 consid. 2.2 ; CREP 11 août 2017/548 consid. 3.2 ; CREP 11 août 2014/547 consid. 2a). La récusation s’impose encore, par exemple, en présence de contacts exclusifs et d’une certaine durée de l’expert avec l’une des parties et son conseil, si l’intéressé agit sans motif valable (Vuille, in : Commentaire romand, op. cit., n. 23a ad art. 183 CPP).</w:t>
      </w:r>
    </w:p>
    <w:p>
      <w:r>
        <w:rPr>
          <w:b/>
        </w:rPr>
        <w:t>E. 2.3</w:t>
      </w:r>
    </w:p>
    <w:p>
      <w:r>
        <w:t>L’expert a notamment admis, dans ses déterminations du 22 juin 2021 sur le recours de E.________, avoir eu des contacts téléphoniques avec le Ministère public et avec la partie plaignante le 21 mai 2021, et a expliqué ne pas avoir eu la possibilité de rencontrer les parties à leur demande en raison du courrier que lui avait adressé le procureur à la même date. Il a par ailleurs expliqué qu’il ignorait que le rapport d’expertise devait être signé et a indiqué qu’il en transmettrait une version signée au procureur avec le rapport d’expertise complémentaire. Il a également contesté avoir eu un quelconque contact avec M.________ depuis la rencontre organisée au domicile de celui-ci avant l’audience devant la Chambre patrimoniale cantonale, précisant n’avoir jamais attaqué l’une ou l’autre des parties, que ce soit par oral ou par écrit. A titre préliminaire, il y a lieu de relever que le requérant, qui se prévaut, à l’appui de sa demande de récusation, de la prise de contact par l’expert avec la seule partie plaignante, se réfère également aux moyens développés par E.________ dans son recours, à savoir notamment l’absence de signature du rapport d’expertise et les affirmations faites par l’expert dans le rapport d’expertise civile du mois de janvier 2019, où celui-ci aurait imputé aux prévenus des « agissements frauduleux » et des « contrats frauduleux », ainsi qu’une « belle combine », lors d’un contact téléphonique. Ce faisant, le requérant ne fait valoir que deux motifs nouveaux, dès lors qu’il n’est pas contesté qu’il avait connaissance depuis plus de deux ans des termes contenus dans le rapport d’expertise civile du mois de janvier 2019 et que les propos que l’expert lui aurait tenus lors d’un entretien téléphonique dont on ignore s’il a réellement eu lieu et, a fortiori , la date à laquelle il se serait déroulé, lui étaient le cas échéant connus depuis plusieurs mois, soit à tout le moins antérieurement au 16 avril 2021. Ces éléments connus de longue date ne sauraient dès lors être pris en considération, sauf tout au plus dans le cadre d’une appréciation globale quant à l’impartialité de l’expert, à la condition toutefois que les faits nouvellement allégués constituent en eux-mêmes un motif de récusation ou à tout le moins un indice en faveur d'une apparence de prévention. A cet égard, force est de constater que l’absence de signature du rapport d’expertise et la prise de contact par l’expert avec la seule partie plaignante ne suffisent pas pour fonder une apparence de partialité, et ce quand bien même une rencontre aurait été fixée avec celle-ci avant que le délai de recours contre le mandat de complément d’expertise ne fût échu. En effet, s’il peut être donné acte au requérant que l’expert a contacté la partie plaignante en vue de la fixation d’une séance avec celle-ci sans en informer immédiatement les autres parties et alors que le délai de recours contre le complément d’expertise courait encore, il ne ressort pas du dossier qu’il aurait voulu cacher cette prise de contact, puisqu’il a téléphoné le même jour au secrétariat du Ministère public pour l’en informer, précisant que rendez-vous avait été pris avec [...] de la société P.________ SA dans le but de réaliser le complément d’expertise ordonné le 17 mai 2021. Or, l’art. 185 al. 4 CPP autorise l’expert à procéder lui-même à des investigations simples qui ont un rapport étroit avec le mandat qui lui a été confié et de convoquer des personnes à cet effet, les parties n’étant pas autorisées à participer à dites investigations (ATF 144 I 253 consid. 3 ; TF 6B_276/2018 du 24 septembre 2018 consid. 1.4.2). Les démarches entreprises par l’expert entraient donc manifestement dans le cadre de la mission qui lui avait été confiée, de sorte que l’on ne saurait retenir qu’il aurait agi sans motif valable. Cela étant, s’il est vrai que l’expert aurait dû attendre l’échéance du délai de recours et obtenir – au préalable – l’autorisation du procureur pour mener d’éventuelles mesures d’instruction, ces omissions ne consacrent pas des erreurs telles ni, avec l’absence de signature du rapport d’expertise – dont on ne distingue au demeurant pas quel indice de partialité elle dénoterait –, une erreur répétée qui suffise pour conclure qu’il y aurait une apparence de prévention. Dès lors que ces faits nouveaux ne constituent pas en soi un motif de récusation, ni même un indice en faveur d'une apparence de prévention, le requérant était forclos pour invoquer, en se référant aux moyens soulevés par E.________ dans le cadre de sa requête, les termes du rapport de l’expertise civile du mois de janvier 2019 et les propos que lui aurait prétendument tenus l’expert lors d’un entretien téléphonique antérieur au 16 avril 2021.</w:t>
      </w:r>
    </w:p>
    <w:p>
      <w:r>
        <w:rPr>
          <w:b/>
        </w:rPr>
        <w:t>E. 3</w:t>
      </w:r>
    </w:p>
    <w:p>
      <w:r>
        <w:t>Il résulte de ce qui précède que la demande de récusation déposée le 25 mai 2021 par M.________ contre l’expert G.________ doit être rejetée dans la mesure où elle est recevable. Les frais de la présente décision, constitués en l’espèce du seul émolument de décision (art. 422 al. 1 CPP), par 1’430 fr. (art. 20 al. 1 TFIP [Tarif des frais de procédure et indemnités en matière pénale du 28 septembre 2010 ; BLV 312.03.1]), seront mis à la charge du requérant, conformément à l'art. 59 al. 4 CPP. P.________ SA, qui a procédé avec l’assistance d’un conseil de choix et qui a obtenu gain de cause dès lors qu’elle a conclu au rejet de la demande de récusation, a droit, de la part du requérant, à une indemnité pour les dépenses occasionnées par la procédure. Elle ne quantifie toutefois pas sa prétention. Au vu des déterminations adressées à la Chambre de céans – et compte tenu de la grande similarité de celles-ci avec l’acte déposé dans le cadre de la requête de E.________ –, et de la nature de l’affaire, cette indemnité sera fixée à 450 fr., correspondant à 1 h 30 d’activité nécessaire d’avocat au tarif horaire de 300 fr. (art. 26a al. 3 TFIP), montant auquel il convient d’ajouter des débours forfaitaires à concurrence de 2 % des honoraires admis (art. 19 al. 2 TDC [Tarif des dépens en matière civile du 23 novembre 2010 ; BLV 270.11.6], applicable par renvoi de l’art. 26a al. 6 TFIP), par 9 fr., plus la TVA au taux de 7,7 %, par 35 fr. 35, soit à 495 fr. au total en chiffres arrondis. Par ces motifs, la Chambre des recours pénale prononce : I. La demande de récusation du 25 mai 2021 est rejetée dans la mesure où elle est recevable. II. Les frais de la décision, par 1’430 fr. (mille quatre cent trente francs), sont mis à la charge d’M.________. III. Une indemnité de 495 fr. (quatre cent nonante-cinq francs) est allouée à P.________ SA pour la procédure de récusation, à la charge d’M.________. IV. La décision est exécutoire. Le président :               La greffière : Du La présente décision, dont la rédaction a été approuvée à huis clos, est notifiée, par l'envoi d'une copie complète, à : - Me Patrick Sutter, avocat (pour M.________), - Me Hervé Crausaz, avocat (pour P.________ SA), - Ministère public central, et communiquée à : ‑ M. le Procureur du Ministère public central, division criminalité économique, - Me Stephen Gintzburger, avocat (pour E.________), - Me Yann Oppliger, avocat (pour B.________), - M. G.________,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