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75 vom 26. Januar 2021</w:t>
      </w:r>
    </w:p>
    <w:p>
      <w:r>
        <w:t>VD Tribunal cantonal, 2021-01-26, FR</w:t>
      </w:r>
    </w:p>
    <w:p>
      <w:r>
        <w:rPr>
          <w:b/>
        </w:rPr>
        <w:t xml:space="preserve">Quelle: </w:t>
      </w:r>
      <w:r>
        <w:t>https://mcp.opencaselaw.ch/entscheid/vd_findinfo_D_cision___2021___75</w:t>
      </w:r>
    </w:p>
    <w:p>
      <w:r>
        <w:t>FR: VD_FINDINFO Décision / 2021 / 75 du 26 janvier 2021</w:t>
      </w:r>
    </w:p>
    <w:p>
      <w:r>
        <w:t>IT: VD_FINDINFO Décision / 2021 / 75 del 26 gennaio 2021</w:t>
      </w:r>
    </w:p>
    <w:p>
      <w:pPr>
        <w:pStyle w:val="Heading2"/>
      </w:pPr>
      <w:r>
        <w:t>Regeste</w:t>
      </w:r>
    </w:p>
    <w:p>
      <w:r>
        <w:t>INTÉRÊT JURIDIQUEMENT PROTÉGÉ, DÉCISION D'IRRECEVABILITÉ | 38 al. 1 LEP, 38 al. 2 LEP, 382 al. 1 CPP (CH)</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 art. 80 LOJV [Loi vaudoise d’organisation judiciaire du 12 décembre 1979; BLV 173.01]).</w:t>
      </w:r>
    </w:p>
    <w:p>
      <w:r>
        <w:rPr>
          <w:b/>
        </w:rPr>
        <w:t>E. 1.2</w:t>
      </w:r>
    </w:p>
    <w:p>
      <w:r>
        <w:t>En l’espèce, le recours a été interjeté en temps utile devant l’autorité compétente. En outre, le recours satisfait aux conditions de forme posées par l’art. 385 al. 1 CPP. Il reste à examiner si la recourante justifie d’un intérêt à recourir contre la décision en cause.</w:t>
      </w:r>
    </w:p>
    <w:p>
      <w:r>
        <w:rPr>
          <w:b/>
        </w:rPr>
        <w:t>E. 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 TF 1B_275/2020 du 22 septembre 2020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 TF 1B_275/2002 précité ; 1B_157/2019 du 9 juillet 2019 consid. 2 et les arrêts cités).</w:t>
      </w:r>
    </w:p>
    <w:p>
      <w:r>
        <w:rPr>
          <w:b/>
        </w:rPr>
        <w:t>E. 2.2</w:t>
      </w:r>
    </w:p>
    <w:p>
      <w:r>
        <w:t>En l’espèce, la décision attaquée consiste en l’octroi d’une autorisation pour un programme de congés institutionnels au sein de l’EPSM La Colombière, en vue d’un futur placement. Or, la recourante ne développe aucun argument à l’encontre de cette autorisation, ou plus généralement contre le principe desdits congés, même indirectement. Elle s’en prend exclusivement au lieu de son futur placement, au sujet duquel elle émet une série de griefs. Toutefois, comme relevé par l’OEP dans sa décision, un tel placement n’a pas encore fait l’objet d’une décision. Il s’ensuit que la recourante ne fait pas valoir qu’elle est concrètement lésée par le principe d’un programme de congés institutionnels, ni par conséquent qu’elle a la qualité pour recourir contre la décision attaquée. Son recours, qui ne vise pas la décision attaquée mais, en réalité, une décision qui n’a pas encore été rendue, est ainsi irrecevable. Il convient de relever, à toutes fins utiles, que le programme de congés en cause tend précisément à définir les modalités du futur placement, et notamment à aplanir les craintes de la recourante ; le fait que celle-ci apparaisse opposée, à ce stade, au choix de l’EPSM La Colombière ne suffit ainsi pas pour dénier toute utilité auxdits congés.</w:t>
      </w:r>
    </w:p>
    <w:p>
      <w:r>
        <w:rPr>
          <w:b/>
        </w:rPr>
        <w:t>E. 3</w:t>
      </w:r>
    </w:p>
    <w:p>
      <w:r>
        <w:t>Au vu de ce qui précède, le recours doit être déclaré irrecevable.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770 fr. (sept cent septante francs), sont mis à la charge de L.________. III. L’arrêt est exécutoire. Le président :               La greffière : Du Le présent arrêt, dont la rédaction a été approuvée à huis clos, est notifié, par l'envoi d'une copie complète, à : - Mme L.________,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