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737 vom 23. August 2021</w:t>
      </w:r>
    </w:p>
    <w:p>
      <w:r>
        <w:t>VD Tribunal cantonal, 2021-08-23, FR</w:t>
      </w:r>
    </w:p>
    <w:p>
      <w:r>
        <w:rPr>
          <w:b/>
        </w:rPr>
        <w:t xml:space="preserve">Quelle: </w:t>
      </w:r>
      <w:r>
        <w:t>https://mcp.opencaselaw.ch/entscheid/vd_findinfo_D_cision___2021___737</w:t>
      </w:r>
    </w:p>
    <w:p>
      <w:r>
        <w:t>FR: VD_FINDINFO Décision / 2021 / 737 du 23 août 2021</w:t>
      </w:r>
    </w:p>
    <w:p>
      <w:r>
        <w:t>IT: VD_FINDINFO Décision / 2021 / 737 del 23 agosto 2021</w:t>
      </w:r>
    </w:p>
    <w:p>
      <w:pPr>
        <w:pStyle w:val="Heading2"/>
      </w:pPr>
      <w:r>
        <w:t>Regeste</w:t>
      </w:r>
    </w:p>
    <w:p>
      <w:r>
        <w:t>RISQUE DE FUITE, RISQUE DE COLLUSION, PROLONGATION, DÉTENTION PROVISOIRE |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(cf. not. CREP 26 février 2020/130).</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3.1</w:t>
      </w:r>
    </w:p>
    <w:p>
      <w:r>
        <w:t>Le recourant remet en cause l’existence de soupçons suffisants justifiant sa mise en détention. Il se réfère à cet égard aux mesures d’instruction qui ont eu lieu depuis la dernière ordonnance du Tribunal des mesures de contrainte, notamment les auditions de tiers, parmi lesquelles celle de sa sœur qui exploite à son nom un établissement public à Lausanne.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[édit.],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[édit.], Basler Kommentar, Schweizerische Strafprozess-ordnung, 2 e éd., Bâle 2014, n. 3 ad art. 221 CPP).</w:t>
      </w:r>
    </w:p>
    <w:p>
      <w:r>
        <w:rPr>
          <w:b/>
        </w:rPr>
        <w:t>E. 3.3</w:t>
      </w:r>
    </w:p>
    <w:p>
      <w:r>
        <w:t>Pour retenir l’existence de soupçons suffisants, la Chambre de céans, confirmée par le Tribunal fédéral, s’était fondée sur les déclarations de [...], selon lesquelles les 177 gr bruts de cocaïne retrouvés dans son véhicule avaient été déposés dans la boîte à gants par le recourant, auprès duquel il avait par ailleurs acquis une quantité très importante de cocaïne dans les six mois précédents. La thèse soutenue par le recourant, selon laquelle il était un simple consommateur, ne résistait pas à l’examen. Par ailleurs, les retranscriptions des enregistrements issus de la surveillance acoustique du véhicule du recourant venaient appuyer les soupçons que le recourant était impliqué dans un important trafic de stupéfiants. Enfin, les enquêteurs ont mis à jour des financements et acquisitions incompatibles avec ses revenus légaux, de sorte qu’il est maintenant également soupçonné de blanchiment d’argent. Ces points suffisent à retenir l’existence de forts soupçons à l’égard du recourant. Celui-ci ne développe aucun moyen pertinent permettant de remettre en cause cette appréciation sur ces points, autre que sa propre version des faits, ce qui est largement insuffisant, étant encore une fois rappelé qu’il n’appartient pas au juge de la détention provisoire de procéder à une appréciation complète des éléments à charge et à décharge, mais uniquement de vérifier, sous l'angle de la vraisemblance, que le maintien en détention avant jugement repose sur des indices de culpabilité suffisants, ce qui est le cas en l’espèce.</w:t>
      </w:r>
    </w:p>
    <w:p>
      <w:r>
        <w:rPr>
          <w:b/>
        </w:rPr>
        <w:t>E. 3.5</w:t>
      </w:r>
    </w:p>
    <w:p>
      <w:r>
        <w:t>et les références citées ; TF 1B_347/2019 du 17 septembre 2019 consid. 4.3.1 ; TF 1B_362/2019 du 17 septembre 2019 consid. 3.3.1 et 3.3.2). Peu importe dès lors qu’un déplacement au Brésil ou au Portugal serait rendu plus difficile par le dépôt des papiers d’identité et le port du bracelet électronique. Cela dit, sous l’angle du risque de collusion, rien n’empêcherait le recourant de se mettre depuis la Suisse en contact avec des personnes sur place pour leur donner toute instruction utile destinée à interférer dans l’enquête en cours, notamment en éliminant des moyens de preuves. Enfin, selon la jurisprudence, la fourniture d’une caution n’est pas prévue pour parer au risque de collusion. Du reste, un montant de 5'000 fr. serait manifestement insuffisant pour que la perspective de le perdre agisse comme un frein pour les velléités de fuite du recourant. Pour le reste, aucune autre mesure de substitution ne paraît pouvoir parer concurremment aux risques retenus.</w:t>
      </w:r>
    </w:p>
    <w:p>
      <w:r>
        <w:rPr>
          <w:b/>
        </w:rPr>
        <w:t>E. 4.1</w:t>
      </w:r>
    </w:p>
    <w:p>
      <w:r>
        <w:t>Le recourant conteste ensuite le risque de fuite. Il explique que s’il est exact qu’il entretient des liens avec son pays d’origine, la France, son centre de vie serait définitivement établi à Lausanne depuis plus de quinze ans. Il explique qu’il a trois enfants nés en 2008, 2011 et 2016, que depuis 2017 il est au bénéfice d’une garde alternée pour [...] et [...] et qu’il voit son fils [...] un week-end sur deux ainsi que durant la moitié des vacances scolaires. Il expose également qu’il est de langue maternelle française, qu’il est stable et intégré dans le tissu social suisse, qu’il travaille, que le bail de son appartement demeure maintenu, et que ses primes d’assurances maladie sont régulièrement acquittées.</w:t>
      </w:r>
    </w:p>
    <w:p>
      <w:r>
        <w:rPr>
          <w:b/>
        </w:rPr>
        <w:t>E. 4.2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4.3</w:t>
      </w:r>
    </w:p>
    <w:p>
      <w:r>
        <w:t>En l’occurrence, il est exact que le recourant a ses trois enfants en Suisse, qu’il y a un logement et deux emplois. Cela dit, ressortissant français, le recourant s’expose en cas de condamnation à une expulsion du territoire suisse. La peine qui pourrait être prononcée pourrait être importante, puisque la circonstance aggravante du métier pourrait être retenue à son encontre. La mère du recourant vit en France et ce pays n’extrade pas ses ressortissants. Par ailleurs, le recourant est également co-propriétaire d’un garage au Portugal et d’un terrain au Brésil. Il aurait ainsi des « points de chute » à l’étranger en cas de mise en liberté. Au vu de ces éléments il faut bien admettre que V.________ présente un risque de fuite.</w:t>
      </w:r>
    </w:p>
    <w:p>
      <w:r>
        <w:rPr>
          <w:b/>
        </w:rPr>
        <w:t>E. 5.1</w:t>
      </w:r>
    </w:p>
    <w:p>
      <w:r>
        <w:t>Le recourant conteste également l’existence d’un risque de collusion.</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w:t>
      </w:r>
    </w:p>
    <w:p>
      <w:r>
        <w:rPr>
          <w:b/>
        </w:rPr>
        <w:t>E. 5.3</w:t>
      </w:r>
    </w:p>
    <w:p>
      <w:r>
        <w:t>En l’occurrence, certes, l’enquête a avancé depuis la dernière prolongation de la détention du recourant, puisque notamment, il a été procédé à toute une série d’auditions. Cela dit, il résulte de la demande de prolongation du Ministère public du 30 juillet 2021 que des mesures d’instruction sont encore nécessaires, voire en cours. Particulièrement, deux demandes d’entraide judiciaire internationale sont sur le point d’être adressées aux autorités brésiliennes et portugaises compétentes pour clarifier la situation financière du recourant et déterminer quels investissements il aurait effectués à l’étranger au moyen de l’argent provenant d’un trafic de stupéfiants (ces investissements étant cas échéant constitutifs d’actes de blanchiment) ainsi que, s’agissant du Portugal, pour entendre [...] qui se serait fourni en cocaïne auprès du recourant. Or, il est absolument nécessaire d’éviter que le recourant interfère dans ces actes de procédure, ce qui ne pourrait pas être le cas s’il devait être libéré. C’est le lieu de rappeler que le recourant peut se montrer menaçant, voire violent. En effet, il a été condamné en France à cinq ans d'emprisonnement pour vol avec violence commis en 2000 (procès-verbal de l'audition d'arrestation du 11 février 2021 p. 41 ss), ainsi qu'en Suisse en 2017 à une peine pécuniaire de 60 jours-amende, avec sursis pendant deux ans, et à une amende, pour lésions corporelles simples et menaces notamment. Pour toutes ces raisons, on ne saurait suivre le recourant lorsqu'il affirme en substance qu'il n'y aurait aucun élément concret permettant de craindre qu'il exerce une quelconque pression sur des témoins ou des parties à la procédure.</w:t>
      </w:r>
    </w:p>
    <w:p>
      <w:r>
        <w:rPr>
          <w:b/>
        </w:rPr>
        <w:t>E. 6</w:t>
      </w:r>
    </w:p>
    <w:p>
      <w:r>
        <w:t>Les conditions de l’art. 221 al. 1 CPP étant alternatives et compte tenu des deux risques retenus, il n’est pas nécessaire d’examiner l’existence du risque de réitération pour justifier la détention provisoire du recourant. Il s’ensuit que celle-ci se justifie, les conditions de l’art. 221 CPP étant réalisées.</w:t>
      </w:r>
    </w:p>
    <w:p>
      <w:r>
        <w:rPr>
          <w:b/>
        </w:rPr>
        <w:t>E. 7.1</w:t>
      </w:r>
    </w:p>
    <w:p>
      <w:r>
        <w:t>Le recourant soutient que des mesures de substitution à la détention seraient aptes à pallier les risques de récidive et de passage à l’acte. Il propose de porter un bracelet électronique, de déposer ses papiers d’identité, et de se présenter régulièrement à un service administratif. Le recourant propose également de fournir le montant de 5'000 fr. au titre de sûretés.</w:t>
      </w:r>
    </w:p>
    <w:p>
      <w:r>
        <w:rPr>
          <w:b/>
        </w:rPr>
        <w:t>E. 7.2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La libération moyennant sûretés implique un examen approfondi portant sur le caractère approprié de la garantie, notamment au regard des ressources du prévenu, de ses liens avec des personnes pouvant lui servir de caution et de la confiance qu'on peut avoir que la perspective de perdre le montant agira comme un frein suffisamment puissant pour écarter toute velléité de fuite (TF 1B_220/2020 du 26 mai 2020 consid. 5.1 et les références citées).</w:t>
      </w:r>
    </w:p>
    <w:p>
      <w:r>
        <w:rPr>
          <w:b/>
        </w:rPr>
        <w:t>E. 7.3</w:t>
      </w:r>
    </w:p>
    <w:p>
      <w:r>
        <w:t>En l’espèce, les mesures de substitution proposées ne sont pas propres à pallier efficacement les risques de fuite et de collusion constatés. En effet, de jurisprudence constante, le dépôt de pièces d’identité ou l’obligation de se présenter régulièrement à un service administratif ne sont pas de nature à empêcher le recourant de quitter le territoire suisse pour un pays limitrophe (France) ou de disparaître dans la clandestinité, pas plus que la pose d’un bracelet électronique, qui ne permettra pas de prévenir la fuite du recourant, mais uniquement de la constater a posteriori (TF 1B_158/2021 du 20 avril 2021 consid.</w:t>
      </w:r>
    </w:p>
    <w:p>
      <w:r>
        <w:rPr>
          <w:b/>
        </w:rPr>
        <w:t>E. 8</w:t>
      </w:r>
    </w:p>
    <w:p>
      <w:r>
        <w:t>Pour le surplus, le recourant est détenu depuis le 10 février 2021, soit depuis près de sept mois. Compte tenu des infractions qui lui sont reprochées, soit vol, dommages à la propriété, violation de domicile, voies de fait, tentative de dénonciation calomnieuse, violation simple des règles de la circulation routière, conduite d’un véhicule automobile au mépris d’un retrait de permis et infraction grave et contravention selon les art. 19 al. 2 et 19a ch. 1 LStup, il s'expose à une peine privative de liberté d’une durée supérieure à celle de la détention subie à ce jour, étant rappelé que l’infraction grave à la LStup est à elle seule passible d’une peine privative de liberté d’un an au moins. L’art. 212 al. 3 CPP et le principe de la proportionnalité sont donc respectés.</w:t>
      </w:r>
    </w:p>
    <w:p>
      <w:r>
        <w:rPr>
          <w:b/>
        </w:rPr>
        <w:t>E. 9</w:t>
      </w:r>
    </w:p>
    <w:p>
      <w:r>
        <w:t>Il résulte de ce qui précède que le recours, manifestement mal fondé, doit être rejeté sans échange d’écritures (art. 390 al. 2 CPP) et l’ordonnance du 9 août 2021 confirmée. Les frais de la procédure de recours, par 1'650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à 180 fr. de l’heure),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Quant à la durée utile d’activité du défenseur d’office, la Cour relèvera que le mémoire de recours reprend des moyens déjà soulevés précédemment. Compte tenu de la nature de la cause, la durée d’activité nécessaire à la rédaction de l’acte de recours ne saurait excéder trois heures.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août 2021 est confirmée. III. L’indemnité allouée au défenseur d’office de V.________ est fixée à 594 fr. (cinq cent nonante-quatre francs). IV. Les frais d’arrêt, par 1'650 fr. (mille six cent cinquante francs), ainsi que l’indemnité due au défenseur d’office de V.________, par 594 fr. (cinq cent nonante-quatre francs),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Maxime Rocafort, avocat (pour V.________), - Ministère public central, et communiqué à : - M. le Président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