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723 vom 7. Juli 2021</w:t>
      </w:r>
    </w:p>
    <w:p>
      <w:r>
        <w:t>VD Tribunal cantonal, 2021-07-07, FR</w:t>
      </w:r>
    </w:p>
    <w:p>
      <w:r>
        <w:rPr>
          <w:b/>
        </w:rPr>
        <w:t xml:space="preserve">Quelle: </w:t>
      </w:r>
      <w:r>
        <w:t>https://mcp.opencaselaw.ch/entscheid/vd_findinfo_D_cision___2021___723</w:t>
      </w:r>
    </w:p>
    <w:p>
      <w:r>
        <w:t>FR: VD_FINDINFO Décision / 2021 / 723 du 7 juillet 2021</w:t>
      </w:r>
    </w:p>
    <w:p>
      <w:r>
        <w:t>IT: VD_FINDINFO Décision / 2021 / 723 del 7 luglio 2021</w:t>
      </w:r>
    </w:p>
    <w:p>
      <w:pPr>
        <w:pStyle w:val="Heading2"/>
      </w:pPr>
      <w:r>
        <w:t>Regeste</w:t>
      </w:r>
    </w:p>
    <w:p>
      <w:r>
        <w:t>CLASSEMENT DE LA PROCÉDURE, HOMICIDE PAR NÉGLIGENCE, ENQUÊTE MÉDICALE | 117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les parties plaignantes qui ont qualité pour recourir (art. 382 al. 1 CPP), et satisfaisant aux conditions de forme prescrites (art. 385 al. 1 CPP), le recours est recevable.</w:t>
      </w:r>
    </w:p>
    <w:p>
      <w:r>
        <w:rPr>
          <w:b/>
        </w:rPr>
        <w:t>E. 2</w:t>
      </w:r>
    </w:p>
    <w:p>
      <w:r>
        <w:t>Les recourants soutiennent en substance que, si le rapport d’autopsie n’identifie pas précisément la cause du décès, il précise néanmoins qu’aucune cause préexistante n’a été identifiée et qu’une broncho-aspiration de lait peut être la cause la plus probable du décès. Ils exposent ainsi que l’enfant a eu des régurgitations d’une fréquence inhabituelle durant la journée précédant le décès, qu’il devait être surveillé et qu’il peut ne pas l’avoir été suffisamment compte tenu des circonstances (nourrisson prématuré ayant eu des régurgitations anormalement fréquentes) et de l’absence de la sage-femme durant une trentaine de minutes. Ils soutiennent que l’instruction n’a pas porté sur ce point et que l’ordonnance entreprise n’examine que les causes organiques du décès, et non les éventuelles causes comportementales. Les conditions pour classer la procédure ne seraient ainsi pas réunies et il conviendrait de compléter l’instruction, notamment en procédant à l’audition de la sage-femme.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2.2.1</w:t>
      </w:r>
    </w:p>
    <w:p>
      <w:r>
        <w:t>Aux termes de l'art. 117 CP (Code pénal du 21 décembre 1937 ; RS 311.0),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 TF 6B_170/2017 du 19 octobre 2017 consid. 2.2).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135 IV 56 consid. 2.1). L'auteur viole les règles de la prudence s'il omet, alors qu'il occupe une position de garant (art. 11 al. 2 et 3 CP; sur cette notion, cf. ATF 141 IV 249 consid. 1.1)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6B_315/2016 du 1 er novembre 2016 consid. 5).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(ATF 134 IV 255 consid. 4.4.2 ; ATF 133 IV 158 consid. 6.1 et les références citées).</w:t>
      </w:r>
    </w:p>
    <w:p>
      <w:r>
        <w:rPr>
          <w:b/>
        </w:rPr>
        <w:t>E. 2.2.2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134 IV 175 consid. 3.2 ; ATF 130 IV 7 consid. 3.3 et les références citées ; TF 6B_170/2017 précité consid. 2.3).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6B_170/2017 précité consid. 2.3 ; TF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(ATF 133 III 121 consid. 3.1; TF 6B_170/2017 précité consid. 2.3 ; TF 6B_1031/2016 du 23 mars 2017 consid. 6.4).</w:t>
      </w:r>
    </w:p>
    <w:p>
      <w:r>
        <w:rPr>
          <w:b/>
        </w:rPr>
        <w:t>E. 2.3</w:t>
      </w:r>
    </w:p>
    <w:p>
      <w:r>
        <w:t>En l’espèce, il résulte du rapport d’autopsie qu’aucune anomalie n'a été notée dans le dossier d’A.H.________, que sa vitalité fœtale a été décrite comme normale, que l’accouchement par césarienne s’est déroulé sans complication et que, le 10 février 2020, le nourrisson était considéré comme « en très bon état général ». Durant la journée du 11 février, la mère de l’enfant avait remarqué qu’il avait eu des régurgitations un peu plus fréquentes. Vers 21h00, une sage-femme avait proposé de le surveiller en pouponnière durant la soirée et la nuit (à noter toutefois qu’on ignore si les régurgitations sont à l’origine de la décision de le placer sous surveillance). A.H.________ avait été alimenté par une sage-femme à 21h30, qui n’avait rien constaté d’inhabituel. Une sage-femme l’avait vu pour la dernière fois, endormi, vers minuit. Elle s’était absentée de la nurserie et était revenue à 00h32, avait constaté que l’enfant était pâle et hypotone et avait alerté le médecin de garde deux minutes plus tard, après quoi sa réanimation avait été tentée en vain, les lésions au cerveau étant trop importantes. Il résulte de cet enchainement factuel – et du constat d’autopsie, selon lequel le nourrisson ne souffrait d’aucune malformation fœtale, ni de pathologies préexistantes ayant pu jouer un rôle dans le décès, celui-ci pouvant être le plus vraisemblablement dû à un à une broncho-aspiration de lait – que la cause la plus probable du décès est survenue durant l’absence de la sage-femme entre 00h00 et 00h32. Il ne peut pas être exclu que, si le nourrisson avait été surveillé constamment, des soins auraient pu lui être prodigués immédiatement et les lésions subies au cerveau évitées. Or, le rapport du CURML a porté sur des considérations médico-légales relatives aux causes du décès de l’enfant. Il s’apparente à un constat. Aucune mesure d’instruction n’a cependant porté sur l’éventuelle violation fautive d’une règle de prudence – soit d’une règle de l’art médical ou infirmier – ni sur le point de savoir si un quelconque acte aurait pu empêcher la survenance du décès. Dans ces conditions, le procureur ne pouvait pas se contenter d’affirmer qu’aucun élément au dossier n’indiquait que le décès de l’enfant était dû à un acte ou à une omission, voire à une négligence d’un tiers. Les recourants ont donc raison de soutenir que l’instruction n’a pas porté sur ces questions et que les conditions d’un classement ne sont pas réunies en l’état. On ignore effectivement si l’absence de la sage-femme était justifiée ou non, si elle peut ou non être considérée comme la violation fautive d’un devoir de prudence compte tenu des circonstances (nourrisson prématuré ayant été placé sous surveillance à la pouponnière et ayant eu des régurgitations plus fréquentes durant la journée) et des normes et directives applicables à un tel cas de figure. On ignore au demeurant s’il existe de telles règles, si elles ont été respectées en l’espèce et, le cas échéant, si le respect de ces règles aurait permis d’éviter le décès avec une grande probabilité. L’instruction doit donc se poursuivre pour élucider ces questions.</w:t>
      </w:r>
    </w:p>
    <w:p>
      <w:r>
        <w:rPr>
          <w:b/>
        </w:rPr>
        <w:t>E. 3</w:t>
      </w:r>
    </w:p>
    <w:p>
      <w:r>
        <w:t>Au vu de ce qui précède, le recours doit être admis, l’ordonnance du 1 er mars 2021 annulée et le dossier de la cause renvoyé au Ministère public de l’arrondissement de Lausanne pour qu’il procède dans le sens du considérant qui précède. Vu l’admission du recours, les frais de la procédure, constitués en l’espèce de l’émolument d'arrêt, par 1’210 fr. (art. 20 al. 1 TFIP [Tarif des frais judiciaires de procédure et indemnités en matière pénale du 28 septembre 2010 ; BLV 312.03.1]), seront laissés à la charge de l’Etat (art. 428 al. 4 CPP). Les recourants, qui ont procédé avec l’assistance d’un avocat de choix, ont droit à une indemnité pour les dépenses occasionnées par la procédure de recours, solidairement entre eux, à la charge de l’Etat. Cette indemnité sera fixée à 900 fr., correspondant à trois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Par ces motifs, la Chambre des recours pénale prononce : I. Le recours est admis. II. L’ordonnance du 1 er mars 2021 est annulée. III. Le dossier de la cause est renvoyé au Ministère public de l’arrondissement de Lausanne pour qu’il procède dans le sens des considérants. IV. Une indemnité de 989 fr. (neuf cent huitante-neuf francs) est allouée à B.H.________ et C.H.________ pour la procédure de recours, solidairement entre eux, à la charge de l’Etat. V. Les frais d’arrêt, par 1’210 fr. (mille deux cent dix francs), sont laissés à la charge de l’Etat. VI. L’arrêt est exécutoire. Le président :               Le greffier : Du Le présent arrêt, dont la rédaction a été approuvée à huis clos, est notifié, par l'envoi d'une copie complète, à : - Me Muriel Vautier, avocate (pour B.H.________ et C.H.________), - Ministère public central, et communiqué à : ‑ M. le Procureur de l’arrondissement de Lausanne,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