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712 vom 21. Juli 2021</w:t>
      </w:r>
    </w:p>
    <w:p>
      <w:r>
        <w:t>VD Tribunal cantonal, 2021-07-21, FR</w:t>
      </w:r>
    </w:p>
    <w:p>
      <w:r>
        <w:rPr>
          <w:b/>
        </w:rPr>
        <w:t xml:space="preserve">Quelle: </w:t>
      </w:r>
      <w:r>
        <w:t>https://mcp.opencaselaw.ch/entscheid/vd_findinfo_D_cision___2021___712</w:t>
      </w:r>
    </w:p>
    <w:p>
      <w:r>
        <w:t>FR: VD_FINDINFO Décision / 2021 / 712 du 21 juillet 2021</w:t>
      </w:r>
    </w:p>
    <w:p>
      <w:r>
        <w:t>IT: VD_FINDINFO Décision / 2021 / 712 del 21 luglio 2021</w:t>
      </w:r>
    </w:p>
    <w:p>
      <w:pPr>
        <w:pStyle w:val="Heading2"/>
      </w:pPr>
      <w:r>
        <w:t>Regeste</w:t>
      </w:r>
    </w:p>
    <w:p>
      <w:r>
        <w:t>NON-LIEU, RECEL, ADMISSION DE LA DEMANDE, IN DUBIO PRO DURIORE | 160 ch. 1 al. 1 CP, 310 CPP (CH)</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Selon l’art. 91 al. 4 CPP, le délai est également réputé observé si l’écrit parvient au plus tard le dernier jour du délai à une autorité suisse non compétente. Celle-ci transmet l’écrit sans retard à l’autorité pénale compétente.</w:t>
      </w:r>
    </w:p>
    <w:p>
      <w:r>
        <w:rPr>
          <w:b/>
        </w:rPr>
        <w:t>E. 1.2</w:t>
      </w:r>
    </w:p>
    <w:p>
      <w:r>
        <w:t>Faute d’accusé de réception par le recourant de l’ordonnance de non-entrée en matière – celle-ci ayant été communiquée par courrier ordinaire –, il y a lieu de considérer que le recours a été déposé en temps utile (ATF 142 IV 125 consid. 4.3). Interjeté dans les formes prescrites (art. 385 al. 1 CPP) auprès d’une autorité suisse qui l’a transmis à l’autorité compétente (art. 91 al. 4 CPP), par la partie plaignante qui a qualité pour recourir (art. 382 al. 1 CPP), le recours est recevable.</w:t>
      </w:r>
    </w:p>
    <w:p>
      <w:r>
        <w:rPr>
          <w:b/>
        </w:rPr>
        <w:t>E. 2</w:t>
      </w:r>
    </w:p>
    <w:p>
      <w:r>
        <w:t>CP] ; sur cette notion, cf. ATF 137 IV 1 consid. 4.2.3 ; ATF 133 IV 9 consid. 4.1). Il en va ainsi lorsque les circonstances suggèrent le soupçon de la provenance délictueuse (ATF 129 IV 230 consid. 5.3.2 et les références citées ; TF 6B_268/2020 précité ; TF 6B_641/2017 précité).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précité ; ATF 130 IV 58 consid. 8.3 ; ATF 125 IV 242 consid. 3c ; TF 6B_268/2020 précité ; TF 6B_817/2018 du 23 octobre 2018 consid. 2.5.2 ; TF 6B_953/2017 du 28 mars 2018 consid. 2.1.3).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(ATF 133 IV 222 consid. 5.3 ; ATF 119 IV 1 consid. 5a ; TF 6B_817/2018 précité ; TF 6B_60/2015 du 25 janvier 2016 consid. 1.2.1). Peuvent aussi constituer des éléments extérieurs révélateurs, les mobiles de l’auteur et la manière dont il a agi (ATF 133 IV 9 précité ; ATF 130 IV 58 précité consid. 8.4 ; ATF 125 IV 242 précité ; TF 6B_817/2018 précité).</w:t>
      </w:r>
    </w:p>
    <w:p>
      <w:r>
        <w:rPr>
          <w:b/>
        </w:rPr>
        <w:t>E. 2.1</w:t>
      </w:r>
    </w:p>
    <w:p>
      <w:r>
        <w:t>Le recourant soutient que s’il est vrai que T.________ n’est pas le principal coupable du vol de ses pelleteuses, il serait néanmoins également fautif. Il fait valoir que celui-ci aurait acheté les machines litigieuses à Q.________ quand bien même il aurait toujours su qu’elles lui appartenaient. Il en veut pour preuve le fait qu’avant la vente, T.________ lui aurait proposé de lui acheter lesdites machines ou de le payer afin qu’il fasse des travaux avec celles-ci, ce qu’il aurait refusé. S’il admet qu’il n’a pas pu s’acquitter de son loyer, étant resté bloqué au Portugal, il relève qu’il aurait repris contact avec Q.________ dès son retour afin de lui expliquer la situation et de payer son dû. Le recourant affirme que T.________ refuserait de lui restituer ses pelleteuses sans que Q.________ lui rembourse les 3'000 fr. qu’il lui a payés et déclare pour sa part vouloir simplement récupérer ce qui lui appartient, soit ses deux machines, un compresseur de chantier d’une valeur de 2'500 fr., une bétonnière d’une valeur de 1'500 fr. et le plein d’essence. Dans le cas contraire, il demande un dédommagement de la valeur des véhicules soustraits, soit de respectivement 42'000 fr. et 27'000 francs.</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Aux termes de l'art. 160 ch. 1 al. 1 CP (Code pénal suisse du 21 décembre 1937 ; RS 311.0),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Sur le plan objectif, l’infraction de recel suppose une chose obtenue au moyen d’une infraction contre le patrimoine, notion qui s’entend de manière large et englobe toute infraction dirigée contre le patrimoine d’autrui (ATF 127 IV 79 consid. 2a et b).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 TF 6B_268/2020 du 6 mai 2020 consid. 1.3 ; TF 6B_641/2017 du 1 er juin 2018 consid. 1.2). Sur le plan subjectif, l’art. 160 CP définit une infraction intentionnelle, mais il suffit que l'auteur sache ou doive présumer, respectivement qu'il accepte l'éventualité que la chose provienne d'une infraction contre le patrimoine (TF 6B_268/2020 précité ; TF 6B_1124/2014 du 22 septembre 2015 consid. 2.1 ; TF 6B_728/2010 du 1 er mars 2011 consid. 2.2 et la référence citée sur le dol éventuel [art. 12 al.</w:t>
      </w:r>
    </w:p>
    <w:p>
      <w:r>
        <w:rPr>
          <w:b/>
        </w:rPr>
        <w:t>E. 2.3</w:t>
      </w:r>
    </w:p>
    <w:p>
      <w:r>
        <w:t>Entendu par la police le 22 février 2021 en qualité de prévenu, Q.________ a admis avoir vendu les deux pelleteuses de J.________ à T.________, au motif que le plaignant ne s’était pas acquitté de son loyer depuis une année. Il a indiqué que l’acheteur avait son garage en face de chez lui, que la vente avait été conclue le 14 décembre 2020, que le prix était minime car il voulait se débarrasser de ces engins, que T.________ était venu en prendre possession environ deux jours plus tard, précisant qu’il n’était pas présent lors de l’enlèvement, qu’il ne disposait pas d’un double des clés et qu’il ignorait donc comment T.________ avait procédé. Entendu par la police le 25 février 2021 en qualité de prévenu, T.________, employé de [...] Sàrl, société sise à [...] ayant pour but le commerce en tous genres et dont il est associé-gérant avec signature individuelle, au bénéfice de dix parts sur vingt, a pour sa part déclaré qu’il savait que ces machines n’appartenaient pas à son voisin Q.________, mais a affirmé que celui-ci lui avait dit que son avocat l’avait autorisé à en disposer. Il a expliqué avoir fait appel à une société de transport basée à Sion, dont il ne se rappelait pas le nom, pour déplacer les engins et a précisé que les clés de la pelleteuse de marque Komatsu se trouvaient à l’intérieur de l’habitacle et que la pelleteuse de marque Liebheer avait pu être déplacée sans la clé, s’agissant d’un ancien modèle. T.________ a indiqué avoir assisté à l’opération mais ne pas avoir fait de manutention. Il a expliqué qu’il prévoyait de revendre les deux pelleteuses pour une somme totale de 15'000 Euros en Allemagne, qu’il avait déjà signé des précontrats qu’il avait toutefois annulés lorsqu’il avait constaté que Q.________ n’était pas en droit de vendre les engins, et a déclaré que les machines de chantier se trouvaient dans un dépôt à [...] à la disposition du plaignant, précisant tout de même qu’il souhaitait récupérer les 3'000 fr. payés à Q.________ en contrepartie. Au regard des déclarations des deux parties à la vente telles que reproduites ci-dessus, l’on ne peut à ce stade exclure que T.________ pouvait ou devait présumer que les deux pelleteuses provenaient d’une infraction. Il y a en effet lieu de relever que plusieurs circonstances auraient dû attirer son attention, soit tout d’abord le prix de vente très bas des deux machines de chantier qui, même si elles n’étaient pas neuves et – à ses dires – en mauvais état, valaient manifestement plus de 3'000 fr., à telle enseigne qu’il avait lui-même un acheteur pour un prix cinq fois supérieur ; ensuite, le fait que Q.________ ne lui ait pas remis les clés de ces engins, ni aucune pièce attestant de son droit de les vendre, alors que T.________ savait qu’il n’en était pas le propriétaire. Dans ces conditions, celui-ci ne pouvait pas se contenter de croire ce que lui affirmait Q.________, notamment au sujet des prétendues déclarations de son avocat. Au vu de ce qui précède, c’est à tort que le Ministère public a exclu la commission de l’infraction de recel au motif que l’élément subjectif n’était pas réalisé. Il incombera au Ministère public d’ouvrir une instruction contre T.________, d’auditionner les deux participants à la vente ainsi que les personnes qui ont déplacé les véhicules, afin de savoir comment elles ont procédé s’il n’y avait pas de clés, et les explications qui leur ont été fournies à cet égard.</w:t>
      </w:r>
    </w:p>
    <w:p>
      <w:r>
        <w:rPr>
          <w:b/>
        </w:rPr>
        <w:t>E. 3</w:t>
      </w:r>
    </w:p>
    <w:p>
      <w:r>
        <w:t>Il résulte de ce qui précède que le recours doit être admis et l’ordonnance entreprise annulée. Le dossier de la cause sera renvoyé au Ministère public pour qu’il procède dans le sens des considérants. Vu l’admission du recours, les frais de la procédure, constitués en l’espèce du seul émolument d’arrêt (art. 422 al. 1 CPP), par 990 fr. (art. 20 al. 1 TFIP [Tarif des frais de procédure et indemnités en matière pénale du 28 septembre 2010 ; BLV 312.03.1]), seront laissés à la charge de l’Etat (art. 428 al. 4 CPP). Le montant de 550 fr. versé par le recourant à titre de sûretés lui sera par ailleurs restitué (art. 7 TFIP). Dès lors qu’il a procédé seul, aucune indemnité ne sera allouée au recourant pour les dépenses occasionnées par la procédure de recours. Il est enfin précisé qu’à ce stade, T.________ ne participe pas à la procédure et que c’est à tort que le Ministère public lui a communiqué une copie de l’ordonnance attaquée. Compte tenu de cette communication préalable, une copie du présent arrêt sera tout de même adressée à ce dernier. Par ces motifs, la Chambre des recours pénale prononce : I. Le recours est admis. II. L’ordonnance du 3 mai 2021 est annulée. III. Le dossier de la cause est renvoyé au Ministère public de l’arrondissement du Nord vaudois pour qu’il procède dans le sens des considérants. IV. Les frais d’arrêt, par 990 fr. (neuf cent nonante francs), sont laissés à la charge de l’Etat. V. Le montant de 550 fr. (cinq cent cinquante francs) versé par J.________ à titre de sûretés lui est restitué. VI. L’arrêt est exécutoire. Le président :               La greffière : Du Le présent arrêt, dont la rédaction a été approuvée à huis clos, est notifié, par l'envoi d'une copie complète, à : - Me Jean-Pierre Bloch, avocat (pour J.________), - Ministère public central, et communiqué à : ‑ Mme la Procureure de l’arrondissement du Nord vaudois, - M. T.________,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