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709 vom 10. August 2021</w:t>
      </w:r>
    </w:p>
    <w:p>
      <w:r>
        <w:t>VD Tribunal cantonal, 2021-08-10, FR</w:t>
      </w:r>
    </w:p>
    <w:p>
      <w:r>
        <w:rPr>
          <w:b/>
        </w:rPr>
        <w:t xml:space="preserve">Quelle: </w:t>
      </w:r>
      <w:r>
        <w:t>https://mcp.opencaselaw.ch/entscheid/vd_findinfo_D_cision___2021___709</w:t>
      </w:r>
    </w:p>
    <w:p>
      <w:r>
        <w:t>FR: VD_FINDINFO Décision / 2021 / 709 du 10 août 2021</w:t>
      </w:r>
    </w:p>
    <w:p>
      <w:r>
        <w:t>IT: VD_FINDINFO Décision / 2021 / 709 del 10 agosto 2021</w:t>
      </w:r>
    </w:p>
    <w:p>
      <w:pPr>
        <w:pStyle w:val="Heading2"/>
      </w:pPr>
      <w:r>
        <w:t>Regeste</w:t>
      </w:r>
    </w:p>
    <w:p>
      <w:r>
        <w:t>MISE EN LIBERTÉ PROVISOIRE, DÉTENTION ILLICITE, INDEMNITÉ POUR DÉTENTION | 212 al. 3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Les cas de figure posés à l'art. 231 al. 1 CPP ne constituent pas des motifs de détention proprement dits au sens de l'art. 31 al. 1 Cst. (Constitution fédérale de la Confédération suisse du 18 avril 1999 ; RS 101), mais apportent des précisions d'ordre procédural : l'art. 231 CPP désigne l'autorité compétente pour ordonner la détention à titre de sûreté et les motifs de détention demeurent ceux de l'art. 221 CPP (TF 1B_210/2016 du 24 juin 2016 consid. 2.1).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 e éd., Bâle 2016, n. 4 ad art. 233 CPP).</w:t>
      </w:r>
    </w:p>
    <w:p>
      <w:r>
        <w:rPr>
          <w:b/>
        </w:rPr>
        <w:t>E. 1.2</w:t>
      </w:r>
    </w:p>
    <w:p>
      <w:r>
        <w:t>En l’espèce, W.________ a sollicité sa libération immédiate après avoir déposé une annonce d’appel, de sorte que sa demande est recevable. Il a toutefois sollicité sa libération auprès du Tribunal d’arrondissement de l’Est vaudois, étant précisé que le dossier de la cause n’est parvenu à l’autorité d’appel que le 16 août 2021.</w:t>
      </w:r>
    </w:p>
    <w:p>
      <w:r>
        <w:rPr>
          <w:b/>
        </w:rPr>
        <w:t>E. 2</w:t>
      </w:r>
    </w:p>
    <w:p>
      <w:r>
        <w:t>([8.83 – 1.5] : 2). Il est en outre incarcéré depuis plus de trois mois et sa cellule ne dispose pas de sanitaires séparés par une cloison. De telles circonstances justifient une indemnisation en raison de conditions de détention illicites. A ce jour, W.________, condamné à 230 jours de peine privative de liberté, a déjà exécuté 203 jours de détention, auxquels il convient d’ajouter les 5 jours qui doivent être déduits de sa peine à titre de réparation du tort moral pour les 10 jours durant lesquels il a été détenu en zone carcérale. Il faut également tenir compte des conditions illicites de détention à la prison du Bois-Mermet. Partant, le prévenu doit être immédiatement relaxé. Cela étant, compte tenu de l’expulsion ordonnée par Tribunal de police, dont on ignore pour l’instant si elle est contestée en appel, et de l’absence de statut légal d’W.________ avec la Suisse et d’attache avec ce pays, la question d’un éventuel placement en détention administrative au sens de l’art. 76 LEI (Loi fédérale sur les étrangers et l'intégration ; RS 142.20) se pose. Une copie du présent prononcé sera ainsi adressée au Service de la population.</w:t>
      </w:r>
    </w:p>
    <w:p>
      <w:r>
        <w:rPr>
          <w:b/>
        </w:rPr>
        <w:t>E. 2.1</w:t>
      </w:r>
    </w:p>
    <w:p>
      <w:r>
        <w:t>Le Tribunal de police a ordonné le maintien d’W.________ en détention pour des motifs de sûreté en raison des risques de réitération et de fuite qu’il présentait, l’intéressé n’ayant aucune attache, ni de statut légal en Suisse, ainsi que pour garantir l’exécution de la peine et de l’expulsion (cf. jugement, p. 24). W.________ ne conteste pas ces motifs mais fait valoir que le premier juge aurait dû également déduire de sa peine 30 jours à titre de réparation pour les 151 jours de détention qu’il aurait subis dans des conditions illicites. La détention qu’il a subie à ce jour correspondrait ainsi à la peine qui lui a été infligée par le Tribunal de police, de sorte qu’il devrait être immédiatement libéré.</w:t>
      </w:r>
    </w:p>
    <w:p>
      <w:r>
        <w:rPr>
          <w:b/>
        </w:rPr>
        <w:t>E. 2.2.1</w:t>
      </w:r>
    </w:p>
    <w:p>
      <w:r>
        <w:t>En vertu de l'art. 221 al. 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(let. a) ; qu'il compromette la recherche de la vérité en exerçant une influence sur des personnes ou en altérant des moyens de preuve (let. b) ; qu'il compromette sérieusement la sécurité d'autrui par des crimes ou des délits graves après avoir déjà commis des infractions du même genre (let. c). L'art.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Lorsque le détenu a déjà été jugé en première instance, ce prononcé constitue un indice important quant à la peine susceptible de devoir être finalement exécutée (ATF 143 IV 168 consid. 5.1).</w:t>
      </w:r>
    </w:p>
    <w:p>
      <w:r>
        <w:rPr>
          <w:b/>
        </w:rPr>
        <w:t>E. 2.2.2</w:t>
      </w:r>
    </w:p>
    <w:p>
      <w:r>
        <w:t>Selon le Tribunal fédéral, l'ampleur de l'indemnisation en raison des conditions de détention illicites dépend avant tout de l'appréciation concrète des circonstances particulières du cas d'espèce, en particulier de la gravité des souffrances physiques ou psychiques consécutives à l'atteinte subie (TF 6B_284/2020 du 3 juillet 2020 consid. 2.1.2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6B_284/2020 précité consid. 2.1.2 et les références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w:t>
      </w:r>
    </w:p>
    <w:p>
      <w:r>
        <w:rPr>
          <w:b/>
        </w:rPr>
        <w:t>E. 2.3</w:t>
      </w:r>
    </w:p>
    <w:p>
      <w:r>
        <w:t>Le Tribunal de police a condamné W.________ à une peine privative de liberté de 230 jours, sous déduction de 126 jours de détention provisoire et de 69 jours de détention pour des motifs de sureté, et a déduit de cette peine 5 jours à titre de réparation du tort moral pour les 10 jours durant lesquels le prévenu avait été détenu en zone carcérale. Le premier juge a considéré qu’il n’y avait pas lieu d’indemniser le prévenu s’agissant de ses conditions de détention à la prison du Bois-Mermet. Il a retenu que la surface de sa cellule, était, selon les renseignements de la prison, de 8.31 m</w:t>
      </w:r>
    </w:p>
    <w:p>
      <w:r>
        <w:rPr>
          <w:b/>
        </w:rPr>
        <w:t>E. 3</w:t>
      </w:r>
    </w:p>
    <w:p>
      <w:r>
        <w:t>Les frais du présent prononcé, par 720 fr. (art. 21 al. 1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