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658 vom 1. Juli 2021</w:t>
      </w:r>
    </w:p>
    <w:p>
      <w:r>
        <w:t>VD Tribunal cantonal, 2021-07-01, FR</w:t>
      </w:r>
    </w:p>
    <w:p>
      <w:r>
        <w:rPr>
          <w:b/>
        </w:rPr>
        <w:t xml:space="preserve">Quelle: </w:t>
      </w:r>
      <w:r>
        <w:t>https://mcp.opencaselaw.ch/entscheid/vd_findinfo_D_cision___2021___658</w:t>
      </w:r>
    </w:p>
    <w:p>
      <w:r>
        <w:t>FR: VD_FINDINFO Décision / 2021 / 658 du 1 juillet 2021</w:t>
      </w:r>
    </w:p>
    <w:p>
      <w:r>
        <w:t>IT: VD_FINDINFO Décision / 2021 / 658 del 1 luglio 2021</w:t>
      </w:r>
    </w:p>
    <w:p>
      <w:pPr>
        <w:pStyle w:val="Heading2"/>
      </w:pPr>
      <w:r>
        <w:t>Regeste</w:t>
      </w:r>
    </w:p>
    <w:p>
      <w:r>
        <w:t>DÉFENSE D'OFFICE, REJET DE LA DEMANDE | 132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qui a qualité pour recourir (art. 382 al. 1 CPP) et dans les formes prescrites (art. 385 al. 1 CPP), le recours de D.________ est recevable.</w:t>
      </w:r>
    </w:p>
    <w:p>
      <w:r>
        <w:rPr>
          <w:b/>
        </w:rPr>
        <w:t>E. 2.1</w:t>
      </w:r>
    </w:p>
    <w:p>
      <w:r>
        <w:t>Le recourant fait en substance valoir que les infractions de contrainte et de violation d’une obligation d’entretien sont passibles d’une peine privative de liberté de trois ans au plus ou d’une peine pécuniaire, que ces infractions entrent en concours idéal et qu’il serait ainsi exposé à une peine privative de liberté de plus d’un an. Il soutient en outre que la cause serait complexe en fait et en droit.</w:t>
      </w:r>
    </w:p>
    <w:p>
      <w:r>
        <w:rPr>
          <w:b/>
        </w:rPr>
        <w:t>E. 2.2.1</w:t>
      </w:r>
    </w:p>
    <w:p>
      <w:r>
        <w:t>Aux termes de l'art. 130 CPP, le prévenu doit avoir un défenseur notamment dans les cas où la détention provisoire, y compris la durée de l’arrestation provisoire, a excédé dix jours (let. a), dans les cas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 e éd., Bâle 2014, n. 18 ad art. 130 CPP ; Harari/Jakob/Santamaria, in : Jeanneret/Kuhn/Perrier Depeursinge [éd.], Commentaire romand, Code de procédure pénale suisse, 2 e éd., Bâle 2019 [ci-après : CR CPP], n. 21 ad art. 130 CPP et réf. cit.).</w:t>
      </w:r>
    </w:p>
    <w:p>
      <w:r>
        <w:rPr>
          <w:b/>
        </w:rPr>
        <w:t>E. 2.2.2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 consid. 2.1 ; TF 1B_360/2020 du 4 septembre 2020 consid. 2.2 et l'arrêt cité). S'agissant de la difficulté objective de la cause, à l'instar de ce qu'elle a développé en rapport avec les chances de succès d'un recours (ATF 139 III 396 consid. 1.2 p. 397; ATF 129 I 129 consid. 2.3.1 p. 135 s.),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(TF 1B_465/2020 précité consid. 2.2 ; TF 1B_360/2020 du 4 septembre 2020 consid. 2.2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1B_465/2020 précité ; TF 1B_360/2020 du 4 septembre 2020 consid. 2.2 et l'arrêt 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1B_475/2020 du 19 novembre 2020 consid. 2.1).</w:t>
      </w:r>
    </w:p>
    <w:p>
      <w:r>
        <w:rPr>
          <w:b/>
        </w:rPr>
        <w:t>E. 2.3</w:t>
      </w:r>
    </w:p>
    <w:p>
      <w:r>
        <w:t>En l’occurrence, le recourant a été condamné par ordonnance pénale – valant acte d’accusation (art. 356 al. 1 in fine CPP) – à une peine pécuniaire de 45 jours-amende à 30 fr. le jour. Il n’encourt manifestement pas concrètement une peine privative de liberté de plus d’un an, comme il le prétend. Par conséquent, une défense obligatoire au sens de l’art. 130 CPP n’entre pas en ligne de compte. S’agissant de la défense d’office envisagée par l’art. 132 al. 2 et al. 3 CPP, la peine pécuniaire de 45 jours-amende à 30 fr. le jour fixée dans l'ordonnance pénale se trouve très en dessous du seuil de 120 jours-amende prévu à l'art. 132 al. 3 CPP, et signifie que l’infraction en cause entre manifestement dans ce que le Tribunal fédéral qualifie de « bagatelle ». L’affaire est ainsi indubitablement de peu de gravité. Au demeurant, le recourant, qui est ingénieur en informatique, est capable de se défendre seul, notamment d’établir, par la production de pièces, qu’il n’était pas en mesure de s’acquitter d’une partie de la contribution d’entretien en cause. Par ailleurs, le fait qu’une inscription de l’infraction de contrainte au casier judiciaire de l’intéressé pourrait lui porter préjudice, notamment dans le cadre professionnel, ne saurait justifier l’assistance d’un avocat pour sauvegarder ses intérêts, sauf à considérer que l’assistance d’un défenseur serait toujours justifiée, même dans les cas bagatelles, du seul fait de la qualification juridique de l’infraction en tant qu’elle serait ou non de nature à alarmer un employeur potentiel. Au vu des éléments qui précèdent, il n’est pas nécessaire de trancher la question de la prétendue indigence du recourant. C’est donc à juste titre que le Tribunal de police de l'arrondissement de La Côte a refusé de mettre le prévenu au bénéfice d’une défense d’office, les conditions de l’art. 132 CPP n’étant pas réunies.</w:t>
      </w:r>
    </w:p>
    <w:p>
      <w:r>
        <w:rPr>
          <w:b/>
        </w:rPr>
        <w:t>E. 3</w:t>
      </w:r>
    </w:p>
    <w:p>
      <w:r>
        <w:t>Au vu de ce qui précède, le recours, manifestement mal fondé, doit être rejeté, sans échange d’écritures (art. 390 al. 2 CPP), et le prononcé contesté confirmé. Le recourant ne sollicite pas la désignation d’un défenseur d’office pour la procédure de recours. De toute manière, une telle demande aurait été rejetée, le recours étant d’emblée dénué de chances de succès. Les frais de la procédure de recours, constitués en l'espèce du seul émolument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11 juin 2021 est confirmé. III. Les frais d'arrêt, par 880 fr. (huit cent huitante francs), sont mis à la charge de D.________. IV. L’arrêt est exécutoire. Le président :               La greffière : Du Le présent arrêt, dont la rédaction a été approuvée à huis clos, est notifié, par l'envoi d'une copie complète, à : - Me Thierry de Mestral, avocat (pour D.________), - Ministère public central, et communiqué à : ‑ M. le Procureur de l’arrondissement de La Côte, - Mme la vice-présidente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