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65 vom 21. Januar 2021</w:t>
      </w:r>
    </w:p>
    <w:p>
      <w:r>
        <w:t>VD Tribunal cantonal, 2021-01-21, FR</w:t>
      </w:r>
    </w:p>
    <w:p>
      <w:r>
        <w:rPr>
          <w:b/>
        </w:rPr>
        <w:t xml:space="preserve">Quelle: </w:t>
      </w:r>
      <w:r>
        <w:t>https://mcp.opencaselaw.ch/entscheid/vd_findinfo_D_cision___2021___65</w:t>
      </w:r>
    </w:p>
    <w:p>
      <w:r>
        <w:t>FR: VD_FINDINFO Décision / 2021 / 65 du 21 janvier 2021</w:t>
      </w:r>
    </w:p>
    <w:p>
      <w:r>
        <w:t>IT: VD_FINDINFO Décision / 2021 / 65 del 21 gennaio 2021</w:t>
      </w:r>
    </w:p>
    <w:p>
      <w:pPr>
        <w:pStyle w:val="Heading2"/>
      </w:pPr>
      <w:r>
        <w:t>Regeste</w:t>
      </w:r>
    </w:p>
    <w:p>
      <w:r>
        <w:t>RISQUE DE FUITE, RISQUE DE RÉCIDIVE, PROPORTIONNALITÉ, DÉTENTION PROVISOIRE | 221 al. 1 let. a CPP (CH),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conteste l’existence de soupçons suffisants. Il relève qu’il n’a pas été entendu par la procureure ensuite de l’audition de la plaignante du 10 décembre 2020. Il soulève également une contradiction entre les déclarations de la plaignante et celles d’un témoin (la mère de celle-ci), qui l’aurait entendue lui reprocher « de ne pas l’avoir baisée pendant 6 mois ». Il soutient enfin que c’est son épouse qui lui aurait demandé de revenir en Suisse.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1B_7/2020 précité consid. 3.1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précité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3.3</w:t>
      </w:r>
    </w:p>
    <w:p>
      <w:r>
        <w:t>En l’espèce, bien que A.X.________ conteste catégoriquement les faits qui lui sont reprochés, les déclarations de B.X.________ sont détaillées et convaincantes. Elles sont en outre corroborées par diverses photographies versées au dossier faisant état de blessures subies par la victime, et notamment d’une lésion au pli du coude gauche. Par ailleurs, on rappellera qu’entre le mois de juin et le mois d’octobre 2019, la police est intervenue à cinq reprises, notamment sur appel de tiers, pour des faits de violences domestiques. Lors de l’intervention du 27 octobre 2019, le prévenu avait été expulsé de son logement pour une durée de 30 jours.  Le fait que le recourant n’ait pas été entendu ensuite de l’audition du 10 décembre 2020 de la victime, à laquelle son défenseur était par ailleurs présent, ou qu’il existerait une contradiction entre les déclarations de B.X.________ et celles de la mère de celle-ci n’y change rien. En effet, le juge de la détention n’a pas à instruire à charge et à décharge, mais uniquement à vérifier que les soupçons soient suffisants, ce qui est le cas en l’espèce. Pour le reste, on rappellera que le recourant a été entendu le 17 octobre 2020 par la police, le 18 octobre 2020 par le procureur, et qu’il n’a pas souhaité d’être entendu par le Tribunal des mesures de contrainte. Ce premier moyen, mal fondé, doit être rejeté.</w:t>
      </w:r>
    </w:p>
    <w:p>
      <w:r>
        <w:rPr>
          <w:b/>
        </w:rPr>
        <w:t>E. 4.1</w:t>
      </w:r>
    </w:p>
    <w:p>
      <w:r>
        <w:t>Le recourant conteste l’existence du risque de fuite. Il explique qu’il n’entend pas quitter la Suisse et qu’en cas de libération, il se rendrait chez un ami, à Vallorbe.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4.3</w:t>
      </w:r>
    </w:p>
    <w:p>
      <w:r>
        <w:t>En l’occurrence, A.X.________ est un ressortissant français sans statut légal en Suisse. Il n’a pas de domicile officiel dans ce pays et ne s’est pas annoncé au Contrôle des habitants lorsqu’il y est revenu en novembre 2019. Même si dans son recours il explique qu’il ne compte pas quitter la Suisse, on rappellera qu’il a déclaré devant le procureur qu’il a l’intention de retourner vivre en France, pays dans lequel vit toute sa famille, soit ses trois enfants et sa petite-fille. Dans ces conditions, on peut effectivement craindre que l’intéressé soit tenté de prendre la fuite pour se rendre en France, pays qui n’extrade pas ses ressortissants, ou de disparaître dans la clandestinité et échapper aux poursuites pénales dont il fait l’objet. Le risque de fuite est ainsi concret.</w:t>
      </w:r>
    </w:p>
    <w:p>
      <w:r>
        <w:rPr>
          <w:b/>
        </w:rPr>
        <w:t>E. 5.1</w:t>
      </w:r>
    </w:p>
    <w:p>
      <w:r>
        <w:t>Le recourant conteste encore l’existence d’un risque de réitération. Il soutient qu’il n’entend pas reprendre la vie commune avec son épouse et qu’il a consenti sans difficulté à signer une convention de divorce. Pour le surplus, il se réfère à l’extrait du casier judiciaire français – vierge – qu’il a produit à l’appui de ses déterminations auprès du Tribunal des mesures de contrainte.</w:t>
      </w:r>
    </w:p>
    <w:p>
      <w:r>
        <w:rPr>
          <w:b/>
        </w:rPr>
        <w:t>E. 5.2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Lorsqu'on dispose d'une expertise psychiatrique ou d'un pré-rapport – moyens d'instruction dont la mise en œuvre n'est pas forcément nécessaire dans tous les cas où le risque de récidive est examiné –, il y a lieu d'en tenir compte (ATF 143 IV 9 précité consid. 2.8).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w:t>
      </w:r>
    </w:p>
    <w:p>
      <w:r>
        <w:rPr>
          <w:b/>
        </w:rPr>
        <w:t>E. 5.3</w:t>
      </w:r>
    </w:p>
    <w:p>
      <w:r>
        <w:t>En l’espèce, il faut relever que la police est intervenue à pas moins de cinq reprises au domicile conjugal de A.X.________ et de B.X.________, et que l’expulsion du logement conjugal pour une durée de 30 jours prononcée le 27 octobre 2019 n’a pas dissuadé l’intéressé de s’en prendre à nouveau régulièrement à son épouse après son retour en Suisse. En outre, le fait que le prévenu se serait cette fois-ci muni d’un couteau afin de blesser la victime est inquiétant et démontre une certaine gradation dans les violences perpétrées. Enfin, le prévenu semble minimiser les actes qu’il a commis, puisque confronté aux journaux d’engagement de la police relatant des faits de violences à l’encontre de son épouse, il a simplement déclaré « oui, nous avons eu des problèmes » (PV aud. d’arrestation du 18 octobre .2020, l. 70). A cela s’ajoute qu’une expertise psychiatrique est en cours afin d’évaluer la dangerosité de A.X.________ et de déterminer les éventuelles mesures à prendre pour éviter toute récidive. Au vu de ce qui précède, c’est à bon droit que le Tribunal des mesures de contrainte a retenu l’existence d’un risque de réitération.</w:t>
      </w:r>
    </w:p>
    <w:p>
      <w:r>
        <w:rPr>
          <w:b/>
        </w:rPr>
        <w:t>E. 6</w:t>
      </w:r>
    </w:p>
    <w:p>
      <w:r>
        <w:t>Les motifs fondant la détention provisoire étant alternatifs (TF 1B_249/2011 du 7 juin 2011 consid. 2.4), l’existence des risques de fuite et de réitération dis­pen­se d’examiner si la détention provisoire se justifie également en raison du risque de collusion.</w:t>
      </w:r>
    </w:p>
    <w:p>
      <w:r>
        <w:rPr>
          <w:b/>
        </w:rPr>
        <w:t>E. 7.1</w:t>
      </w:r>
    </w:p>
    <w:p>
      <w:r>
        <w:t>Le recourant se plaint d’une violation du principe de la proportionnalité parce que la procureure ne lui aurait pas donné l’occasion de s’expliquer sur les accusations portées par la plaignante lors de son audition du 10 décembre 2020.</w:t>
      </w:r>
    </w:p>
    <w:p>
      <w:r>
        <w:rPr>
          <w:b/>
        </w:rPr>
        <w:t>E. 7.2</w:t>
      </w:r>
    </w:p>
    <w:p>
      <w:r>
        <w:t>Le principe de proportionnalité impose d'examiner les possibilités de mettre en œuvre d'autres solutions moins dommageables que la détention (règle de la nécessité ; cf. art. 36 Cst. et 212 al. 2 let. c CPP). Cette exigence est concrétisée par l'art. 237 al. 1 CPP, qui prévoit que le tribunal compétent ordonne une ou plusieurs mesures moins sévères en lieu et place de la détention si ces mesures permettent d'atteindre le même but que la détention (TF 1B_326/2020 du 9 juillet 2020 consid. 2.4.1). En tout état de cause, la détention avant jugement ne doit pas durer plus longtemps que la peine privative de liberté prévisible (art. 212 al. 3 CPP ; TF 1B_61/2020 du 24 février 2020 consid. 2). Le juge peut dès lors maintenir la détention provisoire ou pour des motifs de sûreté aussi longtemps qu'elle n'est pas très proche de la durée de la peine privative de liberté à laquelle il faut s'attendre concrètement en cas de condamnation (TF 1B_23/2019 du 28 janvier 2019 consid. 2.1).</w:t>
      </w:r>
    </w:p>
    <w:p>
      <w:r>
        <w:rPr>
          <w:b/>
        </w:rPr>
        <w:t>E. 7.3</w:t>
      </w:r>
    </w:p>
    <w:p>
      <w:r>
        <w:t>En l’occurrence, on ne voit pas en quoi le fait que la procureure n’ait pas encore entendu le recourant sur les déclarations de B.X.________ du 10 décembre 2020 heurterait le principe de la proportionnalité. Au demeurant, on rappellera que le défenseur de l’intéressé a participé à cette audition. Quoi qu’il en soit, au regard des charges qui pèsent sur A.X.________, sa détention, qui a débuté le 17 octobre 2020, paraît pour l’heure proportionnée à la peine susceptible d’être prononcée en cas de condamnation et aux mesures d’instruction annoncées, soit notamment la mise en œuvre d’une expertise psychiatrique.</w:t>
      </w:r>
    </w:p>
    <w:p>
      <w:r>
        <w:rPr>
          <w:b/>
        </w:rPr>
        <w:t>E. 8</w:t>
      </w:r>
    </w:p>
    <w:p>
      <w:r>
        <w:t>Aucune mesure moins incisive n’apparaît susceptible de prévenir les risques encourus. Du reste, le recourant n’en propose lui-même aucune.</w:t>
      </w:r>
    </w:p>
    <w:p>
      <w:r>
        <w:rPr>
          <w:b/>
        </w:rPr>
        <w:t>E. 9</w:t>
      </w:r>
    </w:p>
    <w:p>
      <w:r>
        <w:t>Il résulte de ce qui précède que le recours, manifestement mal fondé, doit être rejeté sans échange d’écritures (art. 390 al. 2 CPP) et l’ordonnance entreprise confirmée. Les frais de la procédure de recours, constitués en l'espèce de l'émolument d'arrêt (art. 422 al. 1 CPP), par 1’100 fr. (art. 20 al. 1 TFIP [Tarif des frais de procédure et indemnités en matière pénale du 28 septembre 2010; BLV 312.03.1]), et des frais imputables à la défense d'office (art. 422 al. 1 et 2 let. a CPP), fixés à 395 fr. 45, montant arrondi à 396 fr., qui comprennent des honoraires par 360 fr. (2 heures au tarif horaire de 180 fr.), des débours forfaitaires à concurrence de 2 %, par 7 fr. 20 (art. 3 bis al. 1 RAJ [Règlement du 7 décembre 2010 sur l'assistance judiciaire en matière civile; BLV 211.02.3], applicable par renvoi de l’art. 26b TFIP), ainsi que la TVA sur le tout, par 28 fr. 30, seront mis à la charge du recourant, qui succombe (art. 428 al. 1 CPP). Par ces motifs, la Chambre des recours pénale prononce : I. Le recours est rejeté. II. L’ordonnance du 7 janvier 2021 est confirmée. III. L’indemnité allouée au défenseur d’office de A.X.________ est fixée à 396 fr. (trois cent nonante-six francs). IV. Les frais d’arrêt, par 1’210 fr. (mille deux cent dix francs), ainsi que l’indemnité due au défenseur d’office de A.X.________, par 396 fr. (trois cent nonante-six francs), sont mis à la charge de ce dernier. V. Le remboursement à l'Etat de l'indemnité allouée au chiffre III ci-dessus ne sera exigible que pour autant que la situation financière de A.X.________ le permette. VI. L’arrêt est exécutoire. Le président :               La greffière : Du Le présent arrêt, dont la rédaction a été approuvée à huis clos, est notifié, par l'envoi d'une copie complète, à : - Me Laurent Gilliard, avocat (pour A.X.________), - Ministère public central, et communiqué à : ‑ Mme la Présidente du Tribunal des mesures de contrainte, - Mme la Procureure de l’arrondissement du Nord vaudois, - Me Marina Kilchenmann, avocate (pour B.X.________),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