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649 vom 23. Juli 2021</w:t>
      </w:r>
    </w:p>
    <w:p>
      <w:r>
        <w:t>VD Tribunal cantonal, 2021-07-23, FR</w:t>
      </w:r>
    </w:p>
    <w:p>
      <w:r>
        <w:rPr>
          <w:b/>
        </w:rPr>
        <w:t xml:space="preserve">Quelle: </w:t>
      </w:r>
      <w:r>
        <w:t>https://mcp.opencaselaw.ch/entscheid/vd_findinfo_D_cision___2021___649</w:t>
      </w:r>
    </w:p>
    <w:p>
      <w:r>
        <w:t>FR: VD_FINDINFO Décision / 2021 / 649 du 23 juillet 2021</w:t>
      </w:r>
    </w:p>
    <w:p>
      <w:r>
        <w:t>IT: VD_FINDINFO Décision / 2021 / 649 del 23 luglio 2021</w:t>
      </w:r>
    </w:p>
    <w:p>
      <w:pPr>
        <w:pStyle w:val="Heading2"/>
      </w:pPr>
      <w:r>
        <w:t>Regeste</w:t>
      </w:r>
    </w:p>
    <w:p>
      <w:r>
        <w:t>HONORAIRES, AVOCAT, AVOCAT D'OFFICE, DÉFENSE DE CHOIX, DROIT À UN DÉFENSEUR, ADMISSION DE LA DEMANDE | 132 al. 1 let. b CPP (CH), 429 al. 1 let. a CPP (CH), 429 CPP (CH)</w:t>
      </w:r>
    </w:p>
    <w:p>
      <w:pPr>
        <w:pStyle w:val="Heading2"/>
      </w:pPr>
      <w:r>
        <w:t>Erwägungen</w:t>
      </w:r>
    </w:p>
    <w:p>
      <w:r>
        <w:rPr>
          <w:b/>
        </w:rPr>
        <w:t>E. 1</w:t>
      </w:r>
    </w:p>
    <w:p>
      <w:r>
        <w:t>in fine ; CREP 9 juillet 2012/427 consid. 1b et les réf. citées). Dès lors que le recours porte uniquement sur les conséquences économiques accessoires d’une ordonnance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w:t>
      </w:r>
    </w:p>
    <w:p>
      <w:r>
        <w:rPr>
          <w:b/>
        </w:rPr>
        <w:t>E. 2.1</w:t>
      </w:r>
    </w:p>
    <w:p>
      <w:r>
        <w:t>La recourante soutient qu’il était raisonnable de faire appel à un avocat. Elle estime que les infractions qui lui étaient reprochées n’étaient pas de peu d’importance, puisqu’il s’agissait de délits. Exerçant une profession soumise à autorisation, elle s’exposait à un préjudice important et irréparable, dès lors qu’une condamnation pénale aurait pu conduire à la révocation de son autorisation d’exercer. Elle conteste également l’absence de complexité de l’affaire, qui a donné lieu à diverses opérations d’enquête et qui mélangeait des éléments de droit de procédure et de fond. Elle expose par ailleurs qu’une émotion intense entourait cette affaire, d’autant plus que le plaignant était conseillé par un avocat. L’appui d’un défenseur était donc indispensable à ses yeux, tant juridiquement, émotionnellement que par égalité de traitement avec Q.________. Au surplus, les conseils respectifs des parties ont pu échanger sous les réserves d’usage, ce qui a permis une conciliation. La participation de son défenseur aurait donc permis au Ministère public de rendre une ordonnance de classement et d’éviter une instruction longue et coûteuse.</w:t>
      </w:r>
    </w:p>
    <w:p>
      <w:r>
        <w:rPr>
          <w:b/>
        </w:rPr>
        <w:t>E. 2.2.1</w:t>
      </w:r>
    </w:p>
    <w:p>
      <w:r>
        <w:t>Aux termes de l'art. 429 al. 1 let. a CPP, le prévenu, acquitté totalement ou en partie ou qui bénéficie d'une ordonnance de classement, a droit à une indemnité pour les dépenses occasionnées par l'exercice raisonnable de ses droits de procédure. L'indemnité visée à l’art. 429 al. 1 let. a CPP correspond aux dépenses assumées par le prévenu libéré pour un avocat de choix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En principe, l’assistance d’un défenseur est un acte raisonnable, quelle que soit la gravité de l’infraction, y compris les contraventions, au vu de la complexité du droit (ATF 142 IV 163 consid. 3.1 ; ATF 142 IV 45 consid. 2 ; ATF 138 IV 197 consid. 2.3 ; ATF 138 IV 205).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les réf. citées ; TF 6B_938/2018 du 28 novembre 2018 consid. 1.1).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(ATF 142 IV 45 consid. 2.1 et les réf. citées).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 Selon la jurisprudence, l'indemnité doit correspondre au tarif usuel du barreau applicable dans le canton où la procédure se déroule (ATF 142 IV 163 consid. 3.1.2 ; TF 6B_565/2019 du 12 juin 2019 consid. 6.1). Aux termes de l'art. 26a TFIP (Tarif vaudois des frais de procédure et indemnités en matière pénale du 28 septembre 2010 ; BLV 312.03.1), les indemnités allouées selon les articles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2.2.2</w:t>
      </w:r>
    </w:p>
    <w:p>
      <w:r>
        <w:t>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précité consid. 2.3).</w:t>
      </w:r>
    </w:p>
    <w:p>
      <w:r>
        <w:rPr>
          <w:b/>
        </w:rPr>
        <w:t>E. 2.3</w:t>
      </w:r>
    </w:p>
    <w:p>
      <w:r>
        <w:t>En l’espèce, les conditions d’une indemnisation fondée sur l’art. 429 al. 1 let. a CPP sont remplies, dès lors que la prévenue était poursuivie pour des délits et qu’une éventuelle condamnation aurait pu avoir des implications professionnelles. Par ailleurs, l’intervention de son défenseur s’est révélée efficace, puisqu’un classement a été rendu ensuite de pourparlers confraternels qui se sont soldés par une conciliation et un retrait de plainte. Au demeurant, le Ministère public ne soutient pas que la prévenue aurait provoqué illicitement et fautivement l'ouverture de la procédure ou aurait rendu plus difficile la conduite de celle-ci (cf. art. 430 al. 1 let. a CPP). Au contraire, la procureure a relevé qu’au vu de l’esprit de conciliation manifesté par les parties, il se justifiait de laisser les frais de procédure à la charge de l’Etat. Compte tenu du parallélisme applicable en la matière (cf. supra , consid. 3.2.2), il convient d’allouer à la recourante une indemnité fondée sur l’art. 429 al. 1 let. a CPP. Il n’appartient pas à l’autorité de recours de statuer sur la liste des opérations produite par Me Fabrice Coluccia (P. 24 et 26-1/6), du moment que certaines opérations ainsi que le tarif demandé ne peuvent être alloués tels quels (cf. TF 6B_1251/2016 du 19 juillet 2017 consid. 3.3). Il y a donc lieu de renvoyer le dossier de la cause au Ministère public de l’arrondissement de l’Est vaudois afin qu’il fixe l’indemnité due à la recourante.</w:t>
      </w:r>
    </w:p>
    <w:p>
      <w:r>
        <w:rPr>
          <w:b/>
        </w:rPr>
        <w:t>E. 3</w:t>
      </w:r>
    </w:p>
    <w:p>
      <w:r>
        <w:t>Au vu de ce qui précède, le recours doit être admis et le chiffre II de l’ordonnance attaquée annulé. Le dossier de la cause sera renvoyé au Ministère public de l’arrondissement de l’Est vaudois pour qu’il rende une nouvelle décision dans le sens des considérants. Vu le sort du recours, les frais d’arrêt, par 810 fr. (art. 422 al. 1 CPP et 20 al. 1 TFIP [tarif des frais de procédure et indemnités en matière pénale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(art. 429 al. 1 let. a CPP, par renvoi de l’art. 436 al. 1 CPP). Le défenseur de la recourante a allégué deux heures de travail d’avocat pour la rédaction du mémoire de recours. Cette durée peut être admise. Au tarif horaire de 300 fr., les honoraires peuvent être fixés à 600 fr., auxquels il convient d’ajouter des débours forfaitaires à concurrence de 2 % (art. 19 al. 2 TDC [tarif des dépens en matière civile du 23 novembre 2010 ; BLV 270.11.6], applicable par renvoi de l’art. 26a al. 6 TFIP), par 12 fr., plus un montant correspondant à la TVA, par 47 fr. 15, ce qui revient à un montant total de 660 fr. en chiffres arrondis. Cette indemnité sera laissée à la charge de l’Etat. Dès lors, la demande de désignation de Me Fabrice Coluccia en qualité de défenseur d’office pour la procédure de recours n’a plus d’objet. De toute manière, la procédure de recours n’avait rien de complexe, puisqu’elle ne visait qu’à obtenir l’indemnité à forme de l’art. 429 CPP refusée en première instance. Par ces motifs, le juge unique prononce : I. Le recours est admis. II. Le chiffre II de l’ordonnance du 25 février 2021 est annulé. III. Le dossier de la cause est renvoyé au Ministère public de l’arrondissement de l’Est vaudois pour qu’il rende une nouvelle décision dans le sens des considérants. IV. Les frais d'arrêt, par 810 fr. (huit cent dix francs), sont laissés à la charge de l'Etat. V. Une indemnité de 660 fr. (six cent soixante francs) est allouée à T.________, à la charge de l'Etat. VI. La requête de désignation d’un défenseur d’office à T.________ pour la procédure de recours n’a plus d’objet. VII. L’arrêt est exécutoire. Le juge unique :               La greffière : Du Le présent arrêt, dont la rédaction a été approuvée à huis clos, est notifié, par l'envoi d'une copie complète, à : - Me Fabrice Coluccia, avocat (pour T.________), - Ministère public central, et communiqué à : ‑ Mme la Procureure de l’arrondissement de l’Est vaudois, - Me Olivier Bigler, avocat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