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645 vom 6. Juli 2021</w:t>
      </w:r>
    </w:p>
    <w:p>
      <w:r>
        <w:t>VD Tribunal cantonal, 2021-07-06, FR</w:t>
      </w:r>
    </w:p>
    <w:p>
      <w:r>
        <w:rPr>
          <w:b/>
        </w:rPr>
        <w:t xml:space="preserve">Quelle: </w:t>
      </w:r>
      <w:r>
        <w:t>https://mcp.opencaselaw.ch/entscheid/vd_findinfo_D_cision___2021___645</w:t>
      </w:r>
    </w:p>
    <w:p>
      <w:r>
        <w:t>FR: VD_FINDINFO Décision / 2021 / 645 du 6 juillet 2021</w:t>
      </w:r>
    </w:p>
    <w:p>
      <w:r>
        <w:t>IT: VD_FINDINFO Décision / 2021 / 645 del 6 luglio 2021</w:t>
      </w:r>
    </w:p>
    <w:p>
      <w:pPr>
        <w:pStyle w:val="Heading2"/>
      </w:pPr>
      <w:r>
        <w:t>Regeste</w:t>
      </w:r>
    </w:p>
    <w:p>
      <w:r>
        <w:t>PARTIE CIVILE, PLAIGNANT, ASSISTANCE JUDICIAIRE, ADMISSION DE LA DEMANDE, DÉNUEMENT | 136 CPP (CH)</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 et al. [éd.], Commentaire romand, Code de procédure pénale suisse, 2 e éd., Bâle 2019 [ci-après : CR CPP], n. 16 ad art. 136 CPP ; CREP 2 juillet 2020/501 ; CREP 15 août 2019/580). Interjeté dans le délai légal (art. 396 al. 1 CPP) contre une ordonnance du Ministère public rejetant une requête de désignation d'un conseil juridique gratuit (art. 393 al. 1 let. a CPP), par une partie qui a qualité pour recourir (art. 382 al. 1 CPP) et dans les formes prescrites (art. 385 al. 1 CPP), le recours est recevable.</w:t>
      </w:r>
    </w:p>
    <w:p>
      <w:r>
        <w:rPr>
          <w:b/>
        </w:rPr>
        <w:t>E. 2.1</w:t>
      </w:r>
    </w:p>
    <w:p>
      <w:r>
        <w:t>La recourante reproche à la procureure d’avoir nié son indigence. Elle fait valoir que depuis son accident elle n’exerce plus aucune activité professionnelle, qu’après avoir bénéficié jusqu’au 31 mai 2020 de prestations de la part des assurances sociales et des services sociaux, elle dépendait désormais exclusivement de son époux, qui œuvre en qualité d’aide-monteur sanitaire et qui perçoit à ce titre un revenu mensuel de 3'600 francs.  Elle rappelle que la demande de rente AI qu’elle a formée le 20 avril 2019 a donné lieu à un projet de décision du 23 mars 2021, aux termes duquel une rente-invalidité entière lui était accordée pour une durée limitée, soit du 1 er octobre 2019 au 30 avril 2020. Dès lors que ce projet de décision lui refusait l’octroi d’une rente AI pour la période postérieure au 30 avril 2020 et pour l’avenir, la recourante a indiqué y avoir formé opposition le 6 mai 2021 et que la procédure sur opposition était en cours.</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(ATF 144 IV 299 consid. 2.1 ; ATF 131 I 350 consid. 3.1 ; TF 1B_23/2020 du 17 mars 2020 consid. 2.1 ; TF 1B_561/2019 du 12 février 2020 consid. 2.1). Cette disposition vise à assurer à chacun, indépendamment de sa situation financière, l'accès à un tribunal ainsi que la sauvegarde effective de ses droits. 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6B_359/2020 du 11 août 2020 consid. 3.3.1 ; TF 1B_23/2020 précité ; TF 1B_151/2016 du 1 er juin 2016 consid. 2.2). Le législateur a sciemment limité l'octroi de l'assistance judiciaire aux cas où le plaignant peut faire valoir des prétentions civiles (TF 6B_359/2020 précité ; TF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1B_561/2019 précité ; TF 1B_314/2016 du 28 septembre 2016 consid. 2.1). Celui qui ne fait pas valoir de telles prétentions ne peut fonder sa requête sur l’art. 136 CPP (TF 1B_254/2013 du 27 septembre 2013 consid. 2.1.1).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précité consid. 1.1).</w:t>
      </w:r>
    </w:p>
    <w:p>
      <w:r>
        <w:rPr>
          <w:b/>
        </w:rPr>
        <w:t>E. 2.2.2</w:t>
      </w:r>
    </w:p>
    <w:p>
      <w:r>
        <w:t>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(Harari/Corminboeuf Harari, in : CR CPP, n. 30 ad art. 136 CPP, avec renvoi aux nn. 59 ss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En revanche, lorsque le requérant remplit ses obligations, sans que cela permette d'établir d'emblée, pour l'autorité, son indigence, il appartient à celle-ci de l'interpeller (TF 1B_574/2019 précité ; TF 1B_427/2019 du 22 octobre 2019 consid. 3.1 ; TF 1B_179/2019 du 22 juillet 2019 consid. 3.2).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w:t>
      </w:r>
    </w:p>
    <w:p>
      <w:r>
        <w:rPr>
          <w:b/>
        </w:rPr>
        <w:t>E. 2.2.3</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précité consid. 2.2.1 et les références citées ; TF 1B_314/2016 du 28 septembre 2016 précité).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CR CPP, op. cit., n. 64 ad art. 136 CPP).</w:t>
      </w:r>
    </w:p>
    <w:p>
      <w:r>
        <w:rPr>
          <w:b/>
        </w:rPr>
        <w:t>E. 2.3.1</w:t>
      </w:r>
    </w:p>
    <w:p>
      <w:r>
        <w:t>En l’occurrence, l’ordonnance attaquée retient que la situation financière du couple de la requérante, qui n’a pas de dettes hormis les frais de leasing du véhicule de P.________, n’est pas indigente, compte tenu des sommes affectées à des dépenses non essentielles ou non prioritaires. Ce faisant, la procureure perd de vue que la détermination de l’indigence ne conduit pas seulement à établir les dépenses de la requérante et de son époux, mais qu’il faut tenir compte également des revenus du couple avant de faire la balance qui indiquera si un disponible subsiste. Partant, il convient de tenir compte des montants suivants : Revenus Salaire/revenu de P.________              0.00 Salaire revenu du conjoint              3'600.00 Total 3'600.00 Charges Minimum vital LP 1'700.00 Loyer 1'600.00 Assurance maladie 154.55 Charge fiscale 100.00 Total 3'554.55 Force est ainsi de constater que la condition de l’indigence est réalisée, dans la mesure où le budget des époux ne comporte aucun disponible, ce sans même tenir compte des frais allégués en lien avec leur véhicule. C’est en vain que la procureure a examiné en détail toutes les dépenses du couple dès lors que le bénéficiaire de l’assistance judiciaire est libre d’affecter comme il l’entend le montant forfaitaire dévolu à son minimum vital. Ensuite, on peut suivre la recourante lorsqu’elle allègue que l’appré­ciation du Ministère public s’agissant des chances de succès des prétentions civiles est contredite par le dossier de la cause. En effet, si tel était le cas, on pourrait sérieusement douter de l’utilité de la mise en œuvre de l’expertise médico-légale tendant notamment à établir l’existence d’un lien de causalité entre les pathologies dont souffre la recourante et l’accident de la circulation du 10 mars 2018. En outre, l’argument de la procureure tendant à dire que la recourante n’a pas chiffré ses conclusions civiles est sans pertinence, dans la mesure où celles-ci peuvent être détaillées jusqu’à l’issue des débats de première instance. Enfin, même si l’auteur de l’infraction n’est pas connu, l’instruction a permis d’établir que le responsable du magasin [...] de Bussigny le 10 mars 2018, date de l’accident, était [...], adjoint-gérant, et que ce dernier était assisté de [...] lors de la mise en place de l’installation litigieuse. L’affirmation selon laquelle l’auteur de l’infraction ne serait pas identifiable est donc à ce stade erronée. Enfin, dans ce dossier, la procureure a rendu successivement une ordonnance de non-entrée en matière puis une ordonnance de classement, toutes deux annulées par la Chambre de céans. Une expertise médico-légale est en cours. On ne saurait ainsi retenir qu’il s’agit d’une cause simple. Au regard de ce qui précède, il apparaît que l’action civile n’est pas vouée à l’échec, du moins à ce stade.</w:t>
      </w:r>
    </w:p>
    <w:p>
      <w:r>
        <w:rPr>
          <w:b/>
        </w:rPr>
        <w:t>E. 3</w:t>
      </w:r>
    </w:p>
    <w:p>
      <w:r>
        <w:t>En définitive le recours doit être admis et l'ordonnance attaquée réformée en ce sens que P.________ est mise au bénéfice de l'assistance judiciaire, celle-ci comprenant la désignation d’un conseil juridique gratuit en la personne de Me Bastien Bridel. La désignation prendra effet au jour du dépôt de la demande (cf. CREP 9 février 2021/120 ; CREP 3 décembre 2020/972 ; CREP 15 avril 2016/251), soit le 16 février 2021. La recourante n’a pas demandé la désignation de Me Bastien Bridel en qualité de conseil juridique gratuit pour la procédure de recours et a expressément conclu à l’octroi de dépens de deuxième instance. Toutefois, dès lors que l’assistance judiciaire lui est accordée avec effet rétroactif au 16 février 2021, la désignation de Me Bastien Bridel en qualité de conseil juridique gratuit vaut également pour la procédure de recours, de sorte que l’avocat sera indemnisé conformément à l’art. 135 CPP, applicable par renvoi de l’art. 138 al. 1 CPP. Au vu de la nature de l’affaire, du mémoire de recours et des observations déposés, l’indemnité de conseil juridique gratuit pour la procédure de recours sera ainsi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1'210 fr. (art. 20 al. 1 TFIP), et des frais imputables à l’assistance judiciaire gratuite (art. 422 al. 1 et 2 let. a CPP), par 594 fr., seront laissés à la charge de l’Etat (art. 423 al. 1 CPP). Par ces motifs, la Chambre des recours pénale prononce : I. Le recours est admis. II. L’ordonnance du 21 mai 2021 est réformée au chiffre II de son dispositif comme il suit : II. Octroie à P.________ le bénéfice de l’assistance judiciaire avec effet au 16 février 2021, celle-ci comprenant la désignation d’un conseil juridique gratuit en la personne de Me Bastien Bridel . L’ordonnance est confirmée pour le surplus. III. L’indemnité due à Me Bastien Bridel pour la procédure de recours est fixée à 594 fr. (cinq cent nonante-quatre francs). IV. Les frais d’arrêt, par 1'210 fr. (mille deux cent dix francs), ainsi que l’indemnité due au conseil juridique gratuit de la recourante, par 594 fr. (cinq cent nonante-quatre francs), sont laissés à la charge de l’Etat. V. L’arrêt est exécutoire. Le président :               La greffière : Du Le présent arrêt, dont la rédaction a été approuvée à huis clos, est notifié, par l'envoi d'une copie complète, à : - Me Bastien Bridel, avocat (pour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