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632 vom 12. Juli 2021</w:t>
      </w:r>
    </w:p>
    <w:p>
      <w:r>
        <w:t>VD Tribunal cantonal, 2021-07-12, FR</w:t>
      </w:r>
    </w:p>
    <w:p>
      <w:r>
        <w:rPr>
          <w:b/>
        </w:rPr>
        <w:t xml:space="preserve">Quelle: </w:t>
      </w:r>
      <w:r>
        <w:t>https://mcp.opencaselaw.ch/entscheid/vd_findinfo_D_cision___2021___632</w:t>
      </w:r>
    </w:p>
    <w:p>
      <w:r>
        <w:t>FR: VD_FINDINFO Décision / 2021 / 632 du 12 juillet 2021</w:t>
      </w:r>
    </w:p>
    <w:p>
      <w:r>
        <w:t>IT: VD_FINDINFO Décision / 2021 / 632 del 12 luglio 2021</w:t>
      </w:r>
    </w:p>
    <w:p>
      <w:pPr>
        <w:pStyle w:val="Heading2"/>
      </w:pPr>
      <w:r>
        <w:t>Regeste</w:t>
      </w:r>
    </w:p>
    <w:p>
      <w:r>
        <w:t>CRÉANCE, ALLOCATION AU LÉSÉ, CAS DE SÉQUESTRE, RÉQUISITION DE SÉQUESTRE, OBJET SÉQUESTRÉ, ORDONNANCE DE SÉQUESTRE, SÉQUESTRE{MESURE PROVISIONNELLE} | 71 al. 3 CP, 263 CPP (CH)</w:t>
      </w:r>
    </w:p>
    <w:p>
      <w:pPr>
        <w:pStyle w:val="Heading2"/>
      </w:pPr>
      <w:r>
        <w:t>Erwägungen</w:t>
      </w:r>
    </w:p>
    <w:p>
      <w:r>
        <w:rPr>
          <w:b/>
        </w:rPr>
        <w:t>E. 1</w:t>
      </w:r>
    </w:p>
    <w:p>
      <w:r>
        <w:t>Selon l’art. 393 al. 1 let. a CPP (Code de procédure pénale suisse du 5 octobre 2007 ; RS 312.0), le recours est recevable contre les décisions et actes de procédure du Ministère public. Une ordonnance de séquestre (art. 263 CPP) rendue par le Ministère public, de même qu’une ordonnance de refus de séquestre, est ainsi susceptible de recours selon les art. 393 ss CPP (Moreillon/Parein-Reymond, Code de procédure pénale, Petit commentaire, 2 e éd., Bâle 2016, n. 24 ad art. 263 CPP ; Lembo/Nerushay, in : Kuhn/Jeanneret [édit.], Commentaire romand, Code de procédure pénale suisse, Bâle 2019,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 Interjeté en temps utile par la partie plaignante, qui a un intérêt juridique à l’annulation ou à la modification de l’ordonnance entreprise (art. 382 al. 1 CPP), et dans les formes prescrites (art. 385 al. 1 CPP), le recours de D.________ est recevable.</w:t>
      </w:r>
    </w:p>
    <w:p>
      <w:r>
        <w:rPr>
          <w:b/>
        </w:rPr>
        <w:t>E. 2.1</w:t>
      </w:r>
    </w:p>
    <w:p>
      <w:r>
        <w:t>Le recourant se plaint d’une violation des art. 263 CPP et 71 al. 3 CP (Code pénal suisse du 21 décembre 1937 ; RS 311.0). Il requiert ainsi le prononcé d’un séquestre afin de garantir le paiement d’une créance compensatrice qui pourrait lui être allouée. Il estime que le prévenu pourrait s’être rendu coupable d’escroquerie par métier et que l’annonce de l’intention du Ministère public de rendre une ordonnance pénale serait prématurée et peu opportune. Il expose que le prévenu aurait acquis plusieurs biens immobiliers durant la période des faits reprochés ou durant la période précédente concernant des faits similaires pour lesquels il a été condamné, pour appropriation illégitime et abus de confiance, par ordonnance pénale du 14 août 2020, et alors même que sa situation financière était obérée, comme cela ressortirait de l’extrait du registre des poursuite le concernant. Il serait donc hautement vraisemblable que les fonds ayant permis au prévenu d’acquérir ses biens immobiliers, à tout le moins la parcelle n o [...] du cadastre de [...], proviennent des infractions qu’il aurait commises. Le recourant reproche donc au Ministère public de n’avoir procédé à aucune instruction concernant l’origine des fonds ayant permis au prévenu de se constituer un patrimoine immobilier conséquent.</w:t>
      </w:r>
    </w:p>
    <w:p>
      <w:r>
        <w:rPr>
          <w:b/>
        </w:rPr>
        <w:t>E. 2.2</w:t>
      </w:r>
    </w:p>
    <w:p>
      <w:r>
        <w:t>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 TF 6B_59/2019 du 21 juin 2019 consid. 3.1). Le séquestre en vue de garantir une créance compensatrice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Moreillon/Parein-Reymond, op. cit., n. 8 ad rem. prél. aux art. 263 à 268 CPP). Le séquestre peut porter sur tous les biens de la personne suspectée, qu’ils aient été acquis légalement ou non, et ce jusqu’à concurrence présumée du produit de l’infraction.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précité consid. 4.1.2 et les réf. citées). Il appartient par la suite à l’autorité de jugement de confisquer ce qui doit l’être et de maintenir pour le surplus le séquestre en vue de l’exécution de la créance compensatrice qu’elle prononcera (ATF 140 IV 57 consid. 4, JdT 2014 IV 305 ; Dupuis et al. [édit.]., Petit commentaire du Code pénal, Bâle 2017, n. 18 ad art. 71 CP).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(TF 1B_269/2018 du 26 septembre 2018 consid. 4.1 et l'arrêt cité). Les probabilités d'une confiscation, respectivement du prononcé d'une créance compensatrice, doivent cependant se renforcer au cours de l'instruction (ATF 122 IV 91 consid. 4).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6B_59/2019 précité consid. 3.1 ; TF 1B_500/2018 du 11 février 2019 consid. 6.1).</w:t>
      </w:r>
    </w:p>
    <w:p>
      <w:r>
        <w:rPr>
          <w:b/>
        </w:rPr>
        <w:t>E. 2.3</w:t>
      </w:r>
    </w:p>
    <w:p>
      <w:r>
        <w:t>En l’espèce, le Ministère public ne conteste pas l’existence de soupçons suffisants de commission d’une infraction par A.R.________, puisqu’il a annoncé son intention de rendre une ordonnance pénale à son encontre ; il n’est pas non plus contesté que le plaignant a subi un dommage, puisque le prévenu a désormais reconnu des conclusions civiles à hauteur de 45'800 fr. (P. 65 et 59). Le Ministère public soutient à tort qu’une demande de séquestre ne saurait faire échec à la reddition d’une ordonnance pénale ; on relève à cet égard que le séquestre a été requis le 16 avril 2021 et que le Ministère public a refusé ladite mesure le 2 juin 2021, au motif qu’un avis de prochaine condamnation était rendu le même jour. De toute façon, une ordonnance pénale peut porter sur des séquestres, en vertu de l’art. 353 al. 1 let. h CPP. Les séquestres requis, reposant sur l’art. 71 al. 3 CP, se limitent à une restriction du droit d’aliéner et de grever les immeubles dont A.R.________ est propriétaire. Il n’y a donc pas lieu d’examiner la question de la garantie du minimum vital du prévenu. Le recourant allègue que la provenance des fonds ayant permis leur acquisition serait douteuse en raison de la situation financière obérée du prévenu, se fondant sur l’extrait des poursuites le concernant et sur une précédente condamnation en 2020 pour appropriation illégitime et abus de confiance. Quand bien même il n’est pas établi – du moins à ce stade – que ces immeubles résultent d’un avantage illicite, il n’est pas exclu qu’une partie de leur valeur puisse faire l’objet d’une créance compensatrice. Il n’est en effet pas nécessaire que le bien séquestré soit en rapport de connexité avec l’infraction en cause (cf. supra consid. 2.2.3). Le principe du séquestre paraît en l’état justifié dans la mesure où le plaignant a rendu vraisemblable le risque de ne pas pouvoir être dédommagé ; il a en effet allégué avec une certaine crédibilité ne pas avoir reçu le premier acompte sur le montant des conclusions civiles reconnues, contrairement à ce qui avait été annoncé. Le montant du prétendu préjudice du plaignant est en outre défini, la créance invoquée se limitant à la somme de 55'200 fr., tandis que la somme reconnue par le prévenu est de 45'800 francs. A cet égard, la proportionnalité des séquestres requis peut poser problème, dans la mesure où la valeur réelle des immeubles reste à définir ; celle-ci pourrait cependant être très sensiblement diminuée du fait de l’existence de gages immobiliers grevant lesdits bien-fonds, dont on ignore en l’état l’existence et la valeur. Il pourrait donc y avoir une disproportion entre la valeur des objets séquestrés dans leur intégralité et la prétention litigieuse. Au vu des doutes relatifs à la valeur des immeubles, il convient d’arrêter sommairement leur valeur vénale vraisemblable, ainsi que l’existence de gages immobiliers les grevant et leurs valeurs respectives, celles-ci devant venir en déduction. Ceci fait, le Ministère public rendra une nouvelle décision, dans un délai de vingt jours, en fonction du résultat de l’instruction à mener sur ce point.</w:t>
      </w:r>
    </w:p>
    <w:p>
      <w:r>
        <w:rPr>
          <w:b/>
        </w:rPr>
        <w:t>E. 3</w:t>
      </w:r>
    </w:p>
    <w:p>
      <w:r>
        <w:t>Au vu de ce qui précède, il y a lieu d’admettre le recours et d’annuler l’ordonnance de séquestre du 21 février 2020. Le dossier de la cause sera renvoyé au Ministère public de l’arrondissement de Lausanne pour qu’il procède à l’instruction précitée (cf. supra consid. 2.3), puis rende une nouvelle décision dans un délai de vingt jours dès la notification du présent arrêt. Les frais d'arrêt (art. 422 al. 1 CPP), par 990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pleine indemnité pour les dépenses occasionnées par l’exercice raisonnable de ses droits pour la procédure de recours (art. 433 al. 1 CPP, applicable par renvoi de l’art. 436 al. 1 CPP). Au vu du mémoire produit, les honoraires peuvent être fixés à 1’200 fr. (4 heures à 300 fr.), auxquels il convient d’ajouter des débours forfaitaires à concurrence de 2 % (art. 19 al. 2 TDC [tarif des dépens en matière civile du 23 novembre 2010 ; BLV 270.11.6], applicable par renvoi de l’art. 26a al. 6 TFIP [tarif des frais de procédure et indemnités en matière pénale du 28 septembre 2010 ; BLV 312.03.1]), par 24 fr., plus un montant correspondant à la TVA, par 94 fr. 25, ce qui, au total, correspond à une indemnité de 1’319 fr. (montant arrondi), à la charge de l’Etat (art. 436 al. 3 CPP).</w:t>
      </w:r>
    </w:p>
    <w:p>
      <w:r>
        <w:rPr>
          <w:b/>
        </w:rPr>
        <w:t>E. 4</w:t>
      </w:r>
    </w:p>
    <w:p>
      <w:r>
        <w:t>La jurisprudence permet qu’un arrêt ayant pour objet un séquestre ne soit pas notifié au prévenu, pour que l'effet de surprise, indispensable à la mise en œuvre du séquestre, ne s'en trouve pas compromis (cf., par analogie, ATF 139 III 135 consid. 4.5.2 ; CREP 30 avril 2019/356 consid. 5 ; CREP 17 août 2018/629 consid. 4 ; CREP 25 novembre 2016/808 consid. 3). Dans ces circonstances, la notification du présent arrêt aux prévenus doit être différée de quelques jours pour ménager l’effet de surprise indispensable à la mise en œuvre des séquestres et permettre au procureur de procéder à ces mesures dans cet intervalle, le cas échéant. En effet, qui peut le plus en renonçant à notifier un arrêt peut le moins en en différant la notification. L’arrêt sera donc notifié en premier lieu au plaignant, par son conseil, ainsi qu’au Ministère public central et au Procureur de l’arrondissement de Lausanne. Ce n’est qu’après l’échéance du délai de vingt jours fixé au Procureur de l'arrondissement de Lausanne pour rendre une nouvelle ordonnance motivée (cf. consid. 2.3 et 3 in initio ci-dessus) que l’arrêt sera notifié aux prévenus. Par ces motifs, la Chambre des recours pénale prononce : I. Le recours est admis. II. L’ordonnance du 2 juin 2021 est annulée. III. Le dossier de la cause est renvoyé au Ministère public de l’arrondissement de Lausanne pour qu’il rende une nouvelle décision dans le sens des considérants dans un délai de vingt jours dès la notification du présent arrêt. IV. Une indemnité d’un montant de 1’319 fr. (mille trois cent dix-neuf francs) est allouée à D.________ pour les dépenses occasionnées par l'exercice raisonnable de ses droits en procédure de recours, à la charge de l’Etat. V. Les frais de la procédure de recours, par 990 fr. (neuf cent nonante francs), sont laissés à la charge de l’Etat. VI. L’arrêt est exécutoire. Le président :               La greffière : Du Le présent arrêt, dont la rédaction a été approuvée à huis clos, est notifié, par l'envoi d'une copie complète, par notification immédiate, à : - Me Christophe Piguet, avocat (pour D.________), - Ministère public central, ‑ M. le Procureur de l’arrondissement de Lausanne, et, par notification différée selon le considérant 4 du présent arrêt, à - A.R.________), - B.R.________,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