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618 vom 14. Juli 2021</w:t>
      </w:r>
    </w:p>
    <w:p>
      <w:r>
        <w:t>VD Tribunal cantonal, 2021-07-14, FR</w:t>
      </w:r>
    </w:p>
    <w:p>
      <w:r>
        <w:rPr>
          <w:b/>
        </w:rPr>
        <w:t xml:space="preserve">Quelle: </w:t>
      </w:r>
      <w:r>
        <w:t>https://mcp.opencaselaw.ch/entscheid/vd_findinfo_D_cision___2021___618</w:t>
      </w:r>
    </w:p>
    <w:p>
      <w:r>
        <w:t>FR: VD_FINDINFO Décision / 2021 / 618 du 14 juillet 2021</w:t>
      </w:r>
    </w:p>
    <w:p>
      <w:r>
        <w:t>IT: VD_FINDINFO Décision / 2021 / 618 del 14 luglio 2021</w:t>
      </w:r>
    </w:p>
    <w:p>
      <w:pPr>
        <w:pStyle w:val="Heading2"/>
      </w:pPr>
      <w:r>
        <w:t>Regeste</w:t>
      </w:r>
    </w:p>
    <w:p>
      <w:r>
        <w:t>DÉTENTION PROVISOIRE, REJET DE LA DEMANDE, PROPORTIONNALITÉ | 212 al. 3 CPP (CH), 221 al. 2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de Q.________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3.1</w:t>
      </w:r>
    </w:p>
    <w:p>
      <w:r>
        <w:t>Le recourant conteste l’existence du risque de passage à l’acte retenu par le Tribunal des mesures de contrainte. Il soutient qu’il n’existe plus de raison de craindre sérieusement qu’il veuille s’en prendre à la vie de F.________ parce qu’il avait admis les faits qui lui étaient reprochés lors de son audition du 10 juin 2021 et qu’il avait exprimé, à cette occasion, des remords sincères. Au demeurant, il soutient qu’il a été en liberté plusieurs mois sans jamais tenter de passer à l’acte, de sorte que les craintes des autorités pénales seraient infondées.</w:t>
      </w:r>
    </w:p>
    <w:p>
      <w:r>
        <w:rPr>
          <w:b/>
        </w:rPr>
        <w:t>E. 3.2</w:t>
      </w:r>
    </w:p>
    <w:p>
      <w:r>
        <w:t>L'art. 221 al. 2 CPP permet d'ordonner la détention lorsqu'il y a lieu de craindre un passage à l'acte, même en l'absence de toute infraction préalable. Il doit s'agir d'un crime grave et non seulement d'un délit (ATF 137 IV 122 consid. 5).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JdT 2015 IV 32; ATF 137 IV 122 consid. 5). Plus l'infraction redoutée est grave, plus la mise en détention se justifie lorsque les éléments disponibles ne permettent pas une évaluation précise de ce risque (ATF 140 IV 19 consid. 2.1.1; TF 1B_193/2020 du 7 mai 2020 consid. 4.1; TF 1B_184/2019 du 9 mai 2019 consid. 6.2). La doctrine mentionne expressément que des menaces au sens de l’art. 180 CP (Code pénal suisse du 21 décembre 1937 ; RS 311.0) puissent être déterminantes au sens de l’art. 221 al. 2 CPP (Forster, in : Niggli/Heer/Wiprächtiger [édit.], Basler Kommentar, Schweizerische Strafprozess-ordnung, 2 e éd., Bâle 2014, n. 18 ad art. 221 CPP, avec n. infrapaginale 77).</w:t>
      </w:r>
    </w:p>
    <w:p>
      <w:r>
        <w:rPr>
          <w:b/>
        </w:rPr>
        <w:t>E. 3.3</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3.4</w:t>
      </w:r>
    </w:p>
    <w:p>
      <w:r>
        <w:t>En l’occurrence, il est vrai que le recourant est resté des mois en liberté sans tenter de s’en prendre au plaignant. Toutefois, Q.________ semble avoir mené une enquête si systématique sur celui-ci et avoir pris un certain plaisir à l’effrayer que l’on peut douter qu’il s’en tiendrait là lorsque ses menaces ne produiraient plus les effets voulus. Au vu des biens juridiques en cause, il convient de faire preuve de la plus grande prudence. Une expertise psychiatrique est en cours. Il paraît ainsi indiqué d’attendre le dépôt du rapport de cette mesure pour réévaluer la situation, ou à tout le moins les conclusions orales de l’expert. Pour le surplus, le recourant ne sollicite pas la mise en œuvre de mesures de substitu­tion. Au vu de la gravité des faits reprochés, aucune de ces mesures n’apparaît susceptible de contenir le risque de passage à l’acte. Au terme de la détention provisoire ordonnée par le Tribunal des mesures de contrainte, le recourant aura subi six mois de détention, ce qui ne saurait être considéré comme disproportionné au vu de la gravité des faits qui lui sont reprochés. Partant, le principe de la proportionnalité est respecté (art. 212 al. 3 CPP).</w:t>
      </w:r>
    </w:p>
    <w:p>
      <w:r>
        <w:rPr>
          <w:b/>
        </w:rPr>
        <w:t>E. 4</w:t>
      </w:r>
    </w:p>
    <w:p>
      <w:r>
        <w:t>En définitive, le recours interjeté par Q.________, manifestement mal fondé, doit être rejeté sans échange d'écritures (art. 390 al. 2 CPP) et l'ordonnance attaquée confirmée. Les frais de la procédure de recours, constitués de l’émolument d’arrêt, par 770 fr. ( art. 20 al. 1 TFIP [tarif des frais de procédure et indemnités en matière pénale du 28 septembre 2010; BLV 312.03.1]), ainsi que des frais imputables à la défense d’office (art. 422 al. 1 et 2 let. a CPP), fixés à 540 fr. sur la base d’une durée d’activité nécessaire d’avocat estimée à trois heures et d’un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40,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5 juillet 2021 est confirmée. III. L’indemnité allouée au défenseur d’office de Q.________ est fixée à 594 fr. (cinq cent nonante-quatre francs). IV. Les frais d’arrêt, par 770 fr. (sept cent septante francs), ainsi que l’indemnité due au défenseur d’office de Q.________, par 594 fr. (cinq cent nonante-quatre francs), sont mis à la charge de ce dernier. V. Le remboursement à l’Etat de l’indemnité allouée au chiffre III ci-dessus ne sera exigible que pour autant que la situation financière de Q.________ le permette. VI. L’arrêt est exécutoire. Le président :               La greffière : Du Le présent arrêt, dont la rédaction a été approuvée à huis clos, est notifié, par l'envoi d'une copie complète, à : - Me Michel Dupuis, avocat (pour Q.________), - Ministère public central, et communiqué à : ‑ Mme la Présidente du Tribunal des mesures de contrainte, - Mme la Procureure de l’arrondissement de La Côte, - Me Matthieu Genillod, avocat (pour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