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600 vom 7. Juli 2021</w:t>
      </w:r>
    </w:p>
    <w:p>
      <w:r>
        <w:t>VD Tribunal cantonal, 2021-07-07, FR</w:t>
      </w:r>
    </w:p>
    <w:p>
      <w:r>
        <w:rPr>
          <w:b/>
        </w:rPr>
        <w:t xml:space="preserve">Quelle: </w:t>
      </w:r>
      <w:r>
        <w:t>https://mcp.opencaselaw.ch/entscheid/vd_findinfo_D_cision___2021___600</w:t>
      </w:r>
    </w:p>
    <w:p>
      <w:r>
        <w:t>FR: VD_FINDINFO Décision / 2021 / 600 du 7 juillet 2021</w:t>
      </w:r>
    </w:p>
    <w:p>
      <w:r>
        <w:t>IT: VD_FINDINFO Décision / 2021 / 600 del 7 luglio 2021</w:t>
      </w:r>
    </w:p>
    <w:p>
      <w:pPr>
        <w:pStyle w:val="Heading2"/>
      </w:pPr>
      <w:r>
        <w:t>Regeste</w:t>
      </w:r>
    </w:p>
    <w:p>
      <w:r>
        <w:t>DÉTENTION PROVISOIRE, PROLONGATION, RETARD INJUSTIFIÉ, PRINCIPE DE LA CÉLÉRITÉ, PROPORTIONNALITÉ | 29 al. 1 Cst., 212 al. 3 CPP (CH), 227 CPP (CH), 5 CPP (CH)</w:t>
      </w:r>
    </w:p>
    <w:p>
      <w:pPr>
        <w:pStyle w:val="Heading2"/>
      </w:pPr>
      <w:r>
        <w:t>Erwägungen</w:t>
      </w:r>
    </w:p>
    <w:p>
      <w:r>
        <w:rPr>
          <w:b/>
        </w:rPr>
        <w:t>E. 18</w:t>
      </w:r>
    </w:p>
    <w:p>
      <w:r>
        <w:t>décembre 2020, la Police de sûreté a établi son rapport d’investigation final. f) Par décision du 6 janvier 2021 (n° 30), la Chambre des recours pénale a rejeté, dans la mesure où elles étaient recevables, les demandes de récusation déposées les 1 er et 11 décembre 2020 par E.________ contre la Procureure [...], en charge de l’instruction pénale. g) Par ordonnance du 16 mars 2021, le Tribunal des mesures de contrainte a ordonné la prolongation de la détention provisoire d’E.________ pour une durée maximale de trois mois, soit au plus tard jusqu’au 26 juin 2021. B. a) Le 16 juin 2021, le Ministère public a saisi le Tribunal des mesures de contrainte d’une demande de prolongation de la détention provisoire d’E.________ pour une durée de trois mois. Il a fait valoir que depuis la dernière demande de prolongation, le prévenu avait entravé le bon déroulement de l’enquête en inondant la direction de la procédure de toutes sortes de courriers, en ne cessant de donner des ordres et d’impartir des délais à la procureure afin qu’elle lui fournisse des preuves que son téléphone portable avait bien été transmis à FedPol et en empêchant les avocats qui lui étaient désignés de représenter au mieux ses intérêts. Il a en outre précisé qu’un nouveau défenseur d’office venant d’être désigné, il s’agirait pour lui de prendre connaissance du volumineux dossier et de préparer avec son client son audition récapitulative, étant relevé que, le prévenu ayant désormais saisi l’Office fédéral de la police, le Secrétariat général du DFJP et le Ministère public de la Confédération pour faire valoir ses droits, notamment celui de « conteste[r] purement et simplement la défense obligatoire que [lui] impos[ait] Mme [...] » (cf. P. 190/2), il n’était pas certain que son nouvel avocat puisse le représenter durablement, ce qui ralentirait encore la procédure. Le Ministère public a pour le surplus invoqué la persistance de risques de fuite et de réitération et considéré qu’au vu de la peine et de l’expulsion auxquelles s’exposait le prévenu, la durée de la détention paraissait toujours proportionnée. Le 21 juin 2021, le Ministère public a complété sa demande en invoquant en plus l’existence d’un risque de collusion, dès lors qu’E.________ avait tenté de transmettre des courriers au nom d’un autre expéditeur, également détenu à la prison du Bois-Mermet. b) E.________ s’est déterminé le 23 juin 2021. Il a conclu au rejet de la demande de prolongation de la détention provisoire et à sa libération immédiate, invoquant une violation du principe de la proportionnalité et considérant qu’il ne pouvait pas être tenu pour responsable du temps supplémentaire nécessaire à la police pour rendre son rapport relatif aux extractions sur son téléphone portable. Subsidiairement, il a requis que la prolongation de la détention provisoire soit octroyée pour une durée inférieure à celle requise. c) Par ordonnance du 24 juin 2021, le Tribunal des mesures de contrainte a ordonné la prolongation de la détention provisoire d’E.________ (I), a fixé la durée maximale de la prolongation à trois mois, soit au plus tard jusqu’au 26 septembre 2021 (II), et a dit que les frais de sa décision, par 375 fr., suivaient le sort de la cause (III). S’agissant des soupçons sérieux pesant sur le prévenu, le tribunal s’est intégralement référé à ses précédentes ordonnances, qui gardaient toute leur pertinence. Pour le surplus, il a retenu à tout le moins l’existence de risques de fuite et de réitération, qui demeuraient concrets. Il s’est également référé à sa motivation antérieure sur ces points. Il a précisé que le risque de fuite était patent, s’agissant d’un prévenu ressortissant [...] domicilié au [...], qui entretenait de fréquents contacts avec des tiers vivant dans ce pays et qui n’avait aucune attache avec la Suisse. Dans ces circonstances, il y avait tout lieu de croire qu’en cas de libération, E.________ soit tenté de prendre la fuite ou de disparaître dans la clandestinité, ce d’autant qu’il savait désormais que les infractions pour lesquelles il serait renvoyé en jugement donnaient lieu à une expulsion obligatoire du territoire suisse. Le tribunal a encore considéré qu’aucune mesure de substitution n’était apte à parer aux risques retenus. Il a enfin relevé qu’une prolongation de la détention provisoire pour une durée de trois mois devait permettre au cinquième défenseur d’office d’E.________ de prendre connaissance du conséquent dossier et de préparer l’audience récapitulative avec son client, et que cette durée demeurait conforme au principe de la proportionnalité au vu des faits reprochés au prévenu, des mesures d’instruction en cours et de la peine susceptible d’être prononcée en cas de condamnation, étant encore précisé que par ses agissements, E.________ persistait à entraver le bon déroulement de l’instruction. C. a) Le 21 juin 2021, E.________ a personnellement adressé une écriture intitulée « Recours et contestation » à la Chambre des recours pénale. Dans une argumentation quelque peu confuse, il semblait en substance se plaindre de n’avoir pas reçu d’ordonnance du Tribunal des mesures de contrainte relative à la prolongation de sa détention provisoire, ni d’ailleurs d’éventuelles déterminations du Ministère public, et de n’avoir pas obtenu de réponse sur sa demande de révocation de Me Robert Fox en qualité de défenseur d’office. Par pli recommandé du 25 juin 2021, le Président de la Chambre des recours pénale a imparti à Me Robert Fox un délai au 5 juillet 2021 pour lui indiquer le sens dans lequel l’acte d’E.________ du 21 juin 2021 devait être interprété. b) Par acte du 5 juillet 2021, E.________, par l’intermédiaire de son défenseur d’office, a recouru auprès de la Chambre des recours pénale contre l’ordonnance du Tribunal des mesures de contrainte du 24 juin 2021, en concluant, avec suite de frais et dépens, principalement à sa réforme en ce sens que sa mise en liberté provisoire soit immédiatement ordonnée. Subsidiairement, il a conclu à son annulation, la cause étant renvoyée à l’autorité de première instance pour nouvelle décision dans le sens des considérants. Enfin, très subsidiairement, il a conclu à la réforme de l’ordonnance querellée en ce sens que la prolongation de sa détention provisoire soit limitée à une durée d’un mois. Dans un courrier explicatif du même jour, le défenseur d’office d’E.________ a indiqué qu’il fallait comprendre la première partie de la correspondance de son mandant du 21 juin 2021 comme un recours par anticipation à l’encontre de l’ordonnance du Tribunal des mesures de contrainte, qui n’avait à cette date pas encore été rendue, et la seconde partie comme un recours pour déni de justice. En droit : 1. Selon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 Au demeurant, le recours peut être formé pour violation du droit, y compris le déni de justice et le retard injustifié (art. 393 al. 2 let. a CPP), auquel cas il n’est soumis à aucun délai (art. 396 al. 2 CPP). Interjetés par un détenu qui a qualité pour recourir (art. 382 al. 1 CPP), le recours pour déni de justice et le recours contre l’ordonnance de prolongation de la détention provisoire, déposé en temps utile, sont recevables. 2. 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1 re phrase, CPP). 3. 3.1 Le recourant ne conteste pas que les conditions de la détention provisoire, au sens de l’art. 221 al. 1 CPP, sont réunies, notamment au regard du risque de fuite, qu’il ne remet pas en question. Cela étant, il invoque premièrement une violation du principe de célérité, considérant que l’instruction n’avancerait plus, sans que l’on puisse lui en faire le reproche et, partant, un déni de justice. 3.2 Selon l'art. 29 al. 1 Cst. (Constitution fédérale de la Confédération suisse du 18 avril 1999 ; RS 101), toute personne a droit, dans une procédure judiciaire ou administrative, à ce que sa cause soit traitée équitablement et jugée dans un délai raisonnable. A l'instar de l'art. 6 par.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143 IV 373 consid. 1.3.1, JdT 2018 IV 146 ; TF 6B_417/2019 du 13 septembre 2019 consid. 4.1 et les arrêts cités). L’art. 5 al. 1 CPP impose en particulier aux autorités pénales d’engager les procédures pénales sans délai et de les mener à terme sans retard injustifié. Pour déterminer la durée du délai raisonnable, il faut se fonder sur des éléments objectifs. Doivent notamment être pris en compte le degré de complexité de l'affaire, l'enjeu que revêt le litige pour l'intéressé ainsi que le comportement de ce dernier et des autorités compétentes.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133 I 270 consid. 3.4.2, JdT 2011 IV 3 ; TF 6B_417/2019 du 13 septembre 2019 consid. 4.1). L’incarcération peut être considérée comme disproportionnée en cas de retard injustifié dans le cours de la procédure pénale. Il doit toutefois s’agir d’un manquement particulièrement grave, faisant apparaître au surplus que l’autorité de poursuite n’est plus en mesure de conduire la procédure à chef dans un délai raisonnable (ATF 140 IV 74 consid. 3.2, JdT 2014 IV 289 ; ATF 128 I 149 consid. 2.2.1 ; TF 1B_208/2019 du 29 mai 2019 consid. 6.1). Si l’autorité de recours constate un déni de justice ou un retard injustifié, elle peut donner des instructions à l’autorité concernée en lui impartissant des délais pour s’exécuter (art. 397 al. 4 CPP). 3.3 En l’espèce, les arguments du recourant tombent à faux. Force est tout d’abord de constater que celui-ci adopte un comportement de nature à perturber le bon déroulement de l’enquête. Il a ainsi notamment demandé à changer de défenseur d’office à de nombreuses reprises, déposé deux demandes de récusation infondées dirigées contre la procureure en charge de l’instruction, ainsi que, les 8 juillet 2020 (PV aud. 15) et 28 janvier 2021 (P. 142), des plaintes pénales à son encontre, et adressé de multiples courriers à la direction de la procédure. Ensuite, contrairement à ce qu’il soutient, on observe que plusieurs opérations d’enquête ont été tenues depuis le début de l’année 2021. Ainsi, le Ministère public de l’arrondissement de l’Est vaudois a notamment reçu un dossier de la Police cantonale zurichoise (P. 132), reçu des pièces, dossier et rapport de la Police bernoise (P. 136, 150 et 158), procédé à une demande de fixation du for intercantonal (P. 140) et rendu une ordonnance de reprise d’enquête après fixation du for le 10 février 2021, rendu trois ordonnances de séquestre, les 19 février et 8 mars 2021, et relancé, le 11 mai 2021, l’Inspecteur [...] au sujet d’un rapport complémentaire attendu en lien avec la disparition des données WhatsApp du prévenu. Le 12 mai 2021, l’inspecteur a informé la procureure qu’il devait encore procéder à un test et qu’il pourrait ensuite rendre son rapport. Le fait que ce rapport n’ait pas encore été déposé ne constitue pas encore une violation du principe de célérité. Enfin, l’audition récapitulative devrait pouvoir se tenir prochainement, soit une fois que le nouveau défenseur d’office du recourant aura pu prendre connaissance du volumineux dossier le concernant. Il n’y a donc pas de retard injustifié ni de déni de justice, même s’il y a lieu que l’enquête se poursuive sans désemparer. Infondé, le moyen doit être rejeté. 4. 4.1 Le recourant invoque également une violation du principe de la proportionnalité, soutenant que la durée de la détention subie en relation avec les faits qui lui sont reprochés serait exagérée. Il relève que, si la peine prévue pour l’escroquerie par métier peut aller jusqu’à dix ans, le contenu du rapport final de police ne permettrait objectivement pas de conclure à un résultat aussi sévère. 4.2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145 IV 179 consid. 3.1, JdT 2020 IV 3 ; ATF 143 IV 168 consid. 5.1; ATF 139 IV 270 consid. 3.1). Le fait que la peine encourue puisse être assortie du sursis, total ou partiel, n'est pas déterminant sous l'angle de la proportionnalité (ATF 133 I 270 consid. 3.4.2). 4.3 En l’occurrence, le recourant est détenu depuis la fin du mois de mars 2020, soit depuis un peu plus de quinze mois. Au regard de la nature des infractions diverses et variées qui lui sont reprochées, lesquelles incluent notamment de graves infractions contre le patrimoine et l’intégrité sexuelle, et de leur nombre élevé – étant rappelé que le prévenu fait à ce jour l’objet de dix-sept plaintes pénales –, il s’expose, en cas de condamnation, à une peine bien supérieure aux dix-huit mois qu’il aura accomplis au terme de la durée de la prolongation ordonnée. Partant, le principe de la proportionnalité apparaît entièrement respecté. Le grief doit en conséquence également être rejeté. 5. Il résulte de ce qui précède que les recours, manifestement mal fondés, doivent être rejetés sans échange d’écritures (art. 390 al. 2 CPP) et l’ordonnance entreprise confirmée. Les frais de la procédure de recours, constitués en l'espèce de l'émolument d'arrêt, par 1'210 fr. (art. 20 al. 1 TFIP [Tarif des frais de procédure et indemnités en matière pénale du 28 septembre 2010 ; BLV 312.03.1]), et des frais imputables à la défense d'office (art. 422 al. 1 et 2 let. a CPP), fixés à 720 fr. (4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14 fr. 40, et la TVA, par 56 fr. 55, soit à 791 fr. au total, en chiffres arrondis, seront mis à la charge du recourant, qui succombe (art. 428 al. 1, 1 re phrase, CPP). Le remboursement à l’Etat de l’indemnité allouée au défenseur d’office du recourant ne sera toutefois exigible que pour autant que la situation financière de ce dernier le permette (art. 135 al. 4 let. a CPP). Par ces motifs, la Chambre des recours pénale prononce : I. Les recours sont rejetés. II. L’ordonnance du 24 juin 2021 est confirmée. III. L’indemnité allouée au défenseur d’office d’E.________ est fixée à 791 fr. (sept cent nonante et un francs). IV. Les frais d’arrêt, par 1'210 fr. (mille deux cent dix francs), ainsi que l’indemnité due au défenseur d’office d’E.________, par 791 fr. (sept cent nonante et un francs), sont mis à la charge de ce dernier. V. Le remboursement à l’Etat de l’indemnité allouée au chiffre III ci-dessus ne sera exigible que pour autant que la situation financière d’E.________ le permette. VI. L’arrêt est exécutoire. Le président : La greffière : Du Le présent arrêt, dont la rédaction a été approuvée à huis clos, est notifié, par l'envoi d'une copie complète, à : - Me Robert Fox, avocat (pour E.________), - Ministère public central, et communiqué à : - Mme la Présidente du Tribunal des mesures de contrainte, - Mme la Procureure de l’arrondissement de l’Est vaudois, - Mme B.________, - Mme Q.________, - Mme X.________, - Mme O.________,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