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585 vom 2. Juli 2021</w:t>
      </w:r>
    </w:p>
    <w:p>
      <w:r>
        <w:t>VD Tribunal cantonal, 2021-07-02, FR</w:t>
      </w:r>
    </w:p>
    <w:p>
      <w:r>
        <w:rPr>
          <w:b/>
        </w:rPr>
        <w:t xml:space="preserve">Quelle: </w:t>
      </w:r>
      <w:r>
        <w:t>https://mcp.opencaselaw.ch/entscheid/vd_findinfo_D_cision___2021___585</w:t>
      </w:r>
    </w:p>
    <w:p>
      <w:r>
        <w:t>FR: VD_FINDINFO Décision / 2021 / 585 du 2 juillet 2021</w:t>
      </w:r>
    </w:p>
    <w:p>
      <w:r>
        <w:t>IT: VD_FINDINFO Décision / 2021 / 585 del 2 luglio 2021</w:t>
      </w:r>
    </w:p>
    <w:p>
      <w:pPr>
        <w:pStyle w:val="Heading2"/>
      </w:pPr>
      <w:r>
        <w:t>Regeste</w:t>
      </w:r>
    </w:p>
    <w:p>
      <w:r>
        <w:t>INCONNU, RÉCUSATION, REJET DE LA DEMANDE | 56 let. f CPP (CH)</w:t>
      </w:r>
    </w:p>
    <w:p>
      <w:pPr>
        <w:pStyle w:val="Heading2"/>
      </w:pPr>
      <w:r>
        <w:t>Erwägungen</w:t>
      </w:r>
    </w:p>
    <w:p>
      <w:r>
        <w:rPr>
          <w:b/>
        </w:rPr>
        <w:t>E. 17</w:t>
      </w:r>
    </w:p>
    <w:p>
      <w:r>
        <w:t>mai 2021. Par lettre du 17 mai 2021 (P. 20), Me Yilmaz a sollicité nouvelle une prolongation, au 28 mai 2021, du délai pour procéder. Par avis du 18 mai 2021 (P. 21), le délai imparti à « P._______ » pour procéder a été prolongé au 28 mai 2021. h) Par lettre du 20 mai 2021 adressée au Ministère public de l’arrondissement de La Côte (P. 22), C.________ a déclaré retirer la plainte pour dommages à la propriété et violation de domicile déposée contre inconnu le 2 novembre 2020. i) Par lettre du 28 mai 2021 (P. 23/0), invoquant notamment la violation de nombreuses dispositions procédurales et matérielles (art. 352 al. 1, 353 al. 1 let. b, 356 al. 1 cum 325 al. 1 let. d CPP ; art 47 al. 1 CP), « P._______ » agissant par l’intermédiaire de Me Yilmaz, a invité la procureure à prendre formellement acte de la nullité de l’ordonnance pénale, subsidiairement de la validité de l’opposition. La prévenue a également invoqué une violation des 140 al. 1 CPP et 181 CP en tant que le Ministère aurait utilisé la menace de l’entrée en force d’une ordonnance pénale prononçant une peine de prison ferme, comme argument pour contraindre la prévenue à renoncer à son droit à garder le silence et le forcer à communiquer aux autorités son identité. Enfin, la prévenue a joint à son pli une photographie de sa personne en compagnie de son défenseur (P. 23/1) de manière à lever tout doute quant à la réalité du mandat confié à l’avocat, sous laquelle elle a confirmé manuscritement son opposition à l’ordonnance pénale, déclarant pour le surplus qu’elle souhaitait être entendue sur ses motivations ainsi que sur les faits reprochés, qu’elle contestait, tout comme la peine. j) Le 19 mai 2021 (P. 24), la procureure a déclaré l’opposition irrecevable au motif que cette dernière ne respectait pas la forme écrite et que le vice qui l’affectait n’avait pas été réparé dans le délai imparti. Elle a transmis la cause au Tribunal de police de l’arrondissement de La Côte (ci-après : le Tribunal) en application de l’art. 356 al. 1 CPP. k) Par avis du 9 juin 2021 (P. 25), L.______, Président du Tribunal, a imparti à « P._______ » un délai au 21 juin 2021 pour se déterminer sur l’absence de validité de la procuration invoquée par le Ministère public et tout autre élément qui apparaîtrait utile sur la question de la recevabilité. B. a) Par acte du 15 juin 2021 (P. 26), se référant aux différents développements qui auraient été adressé à la direction de la procédure dans les causes PE21[...], PE21[...] et PE21[...], « P._______ » a demandé la récusation du Président L.______, au motif que ce dernier était intervenu en qualité de juge du fond dans le cadre de la procédure pénale PE18[...], où le magistrat aurait adopté une position idéologique. Produisant un courrier du 3 juin 2021 adressé à son défenseur par la procureure de l’arrondissement de Lausanne [...] dans la cause PE21[...], la prévenue a également soutenu que le Ministère public adopterait une position contradictoire dans des affaires similaires, remettant en cause dans la présente procédure le mandat confié au défenseur ainsi que la procuration déposée, mais admettant un tel mandat dans la cause PE21[...]. A cet égard, la prévenue a observé qu’elle avait, dans les deux affaires, refusé de décliner son identité, mais que les procurations au dossier comportaient sa signature complétée par son empreinte digitale. Enfin, pour la prévenue, le Président L.______ s’étant déclaré le 9 juin 2021 en attente d’une procuration en bonne et due forme, celui-ci s’alignerait sur la position du Ministère public, selon qui l’opposition aurait été déposée sans procuration valable. Subsidiairement, « P._______ » a requis que le dossier soit renvoyé à l’autorité de recours. b) Dans ses déterminations du 17 juin 2021 (P. 27), le Président Daniel Stoll a d’abord précisé que l’attribution définitive au fond de la cause serait, le cas échéant, décidée ultérieurement. Il a exposé ensuite avoir transmis, conformément aux usages, une copie du dossier à l'avocat qui s'était déclaré constitué. Estimant n’avoir fait qu'appliquer l'art. 129 al. 2 CPP, le magistrat lui a demandé de produire une procuration écrite dès lors que l'instance précédente avait considéré que celle au dossier n'était pas valable, ajoutant que son opinion sur la question de la validité de la procuration, de la recevabilité de l'opposition, respectivement la validité de l'ordonnance pénale, n'était pas encore faite et qu’il attendait les arguments des uns et des autres pour les examiner avant de rendre sa décision. Quant au considérant du jugement rendu dans le cadre de la procédure pénale PE18[...], il a fait valoir que celui-ci était tronqué et sorti de son contexte, qu’il concernait une affaire particulière sans lien avec la présente cause et ne préjugeait pas d'autres affaires qu’il avait et aurait à juger, la requérante confondant la notion d’idéologie, sur laquelle le magistrat estimait ne pas avoir pris position, avec celle de moyen d’action qu’il avait dû apprécier sous l’angle du droit pénal. Pour le surplus, le magistrat s’en est remis à justice. c) Par déterminations spontanées du 28 juin 2021, « P._______ » a conclu à l’admission formelle de sa demande de récusation. En droit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 1.2 En l’espèce, la Chambre des recours pénale du Tribunal cantonal (art. 13 al. 1 LVCPP [Loi d’introduction du Code de procédure pénale suisse du 19 mai 2009 ; BLV 312.01]) est compétente pour statuer sur la demande de récusation déposée le 15 juin 2021 par « P._______ » dès lors qu’elle est dirigée contre un magistrat de première instance. Formée moins d’une semaine après le premier courrier signé du Président L.______ (P. 25), la demande de récusation est déposée à temps. Elle est donc recevable sous cet angle. Toutefois, il y a lieu de relever qu’au regard de l’art. 110 al. 1 CPP, selon lequel les requêtes écrites doivent être datées et signées, cette dernière exigence paraissant n on remplie en l’occurrence, la procuration étant signée mais la prévenue ne s’étant pas identifiée, la question de la qualité pour agir de « P._______ » se pose mais peut être laissée ouverte, la demande de récusation étant de toute manière rejetée pour les motifs développés ci-après (cf. consid. 2.2 infra ). De même, la question de l'éventuel lien entre magistrat et parties, qui est en principe déterminante en matière de récusation (cf. consid. 2.1 infra ), et qui imposerait que la partie qui demande la récusation d'un magistrat s'identifie afin de pouvoir examiner les éventuels liens entre eux, peut également être laissée ouverte, vu le rejet de la demande de récusation. 2. 2.1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 2.2 En l’occurrence, on ne voit pas en quoi l’attitude reprochée par la prévenue aux procureures de l’arrondissement de Lausanne démontrerait une partialité du Président L.______. Par ailleurs, les propos prétendument idéologiques reprochés au magistrat ont été tenus dans un jugement qui date du 20 décembre 2018, dont on ignore le contexte et qui concerne d'autres prévenus ainsi que d’autres circonstances de fait. Au vu de la jurisprudence susmentionnée, cela est insuffisant pour y voir une prévention, d'autant plus que le jugement concernait des activistes antispécistes, et non un défenseur du climat. Quant à la demande de procuration, on ne voit pas en quoi elle révélerait une apparence de prévention. Il s'agit d'une mesure d'instruction, et à ce titre, elle relève des voies de droit ordinaires. Enfin, comme le Président L.______ l'a indiqué dans ses déterminations du 17 juin 2021, l'instruction qu'il mène ne préjuge pas de l'attribution à un autre président du for pour jugement, son intervention ayant lieu à ce stade comme président de la Chambre pénale du Tribunal. 3. Pour les motifs qui précèdent, la demande de récusation doit être rejetée dans la mesure où elle est recevable. 4. Les frais de procédure, constitués en l’espèce du seul émolument de décision, par 880 fr. (art. 20 al. 1 TFIP [Tarif des frais de procédure et indemnités en matière pénale du 28 septembre 2010 ; BLV 312.03.1]), seront mis à la charge de la requérante (art. 59 al. 4, seconde phrase, CPP). Par ces motifs, la Chambre des recours pénale prononce : I. La demande de récusation est rejetée dans la mesure où elle est recevable. II. Les frais de décision, par 880 fr. (huit cent huitante francs), sont mis à la charge de la requérante. III. La décision est exécutoire. Le président :               Le greffier : Du La présente décision, dont la rédaction a été approuvée à huis clos, est notifiée, par l'envoi d'une copie complète, à : - Me Hüsnü Yilmaz, avocat (pour la requérante), - Ministère public central, et communiquée à : - M. le Président du Tribunal de police de l’arrondissement de La Côte, - Ministère public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