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57 vom 18. Januar 2021</w:t>
      </w:r>
    </w:p>
    <w:p>
      <w:r>
        <w:t>VD Tribunal cantonal, 2021-01-18, FR</w:t>
      </w:r>
    </w:p>
    <w:p>
      <w:r>
        <w:rPr>
          <w:b/>
        </w:rPr>
        <w:t xml:space="preserve">Quelle: </w:t>
      </w:r>
      <w:r>
        <w:t>https://mcp.opencaselaw.ch/entscheid/vd_findinfo_D_cision___2021___57</w:t>
      </w:r>
    </w:p>
    <w:p>
      <w:r>
        <w:t>FR: VD_FINDINFO Décision / 2021 / 57 du 18 janvier 2021</w:t>
      </w:r>
    </w:p>
    <w:p>
      <w:r>
        <w:t>IT: VD_FINDINFO Décision / 2021 / 57 del 18 gennaio 2021</w:t>
      </w:r>
    </w:p>
    <w:p>
      <w:pPr>
        <w:pStyle w:val="Heading2"/>
      </w:pPr>
      <w:r>
        <w:t>Regeste</w:t>
      </w:r>
    </w:p>
    <w:p>
      <w:r>
        <w:t>TRAITEMENT AMBULATOIRE | 63a al. 2 let. b CP</w:t>
      </w:r>
    </w:p>
    <w:p>
      <w:pPr>
        <w:pStyle w:val="Heading2"/>
      </w:pPr>
      <w:r>
        <w:t>Erwägungen</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devant l’autorité compétente, par le Ministère public, qui a qualité pour recourir (art. 382 al. 1 CPP), et satisfaisant aux conditions de forme prescrites (art. 385 al. 1 CPP), le recours est recevable.</w:t>
      </w:r>
    </w:p>
    <w:p>
      <w:r>
        <w:rPr>
          <w:b/>
        </w:rPr>
        <w:t>E. 1.3</w:t>
      </w:r>
    </w:p>
    <w:p>
      <w:r>
        <w:t>Les conditions des art. 130 et 132 CPP n’étant pas réunies, point n’est besoin de désigner à l’intimé un défenseur d’office pour la procédure de recours.</w:t>
      </w:r>
    </w:p>
    <w:p>
      <w:r>
        <w:rPr>
          <w:b/>
        </w:rPr>
        <w:t>E. 2</w:t>
      </w:r>
    </w:p>
    <w:p>
      <w:r>
        <w:t>let. b CP, le recourant soutient, en substance, que le traitement ambulatoire n’a, à ce jour, pas eu tous les effets escomptés, bien que son échec ne soit pas total pour autant. Le risque de récidive resterait dès lors important. Quant à l’avenir, rien ne permettrait de déduire que le traitement serait vain; tout au plus conviendrait-il de modifier ses modalités. Partant, ce serait à tort que le premier juge a ordonné l’arrêt du traitement ambulatoire notamment pour le motif que sa poursuite paraissait vouée à l’échec.</w:t>
      </w:r>
    </w:p>
    <w:p>
      <w:r>
        <w:rPr>
          <w:b/>
        </w:rPr>
        <w:t>E. 2.1</w:t>
      </w:r>
    </w:p>
    <w:p>
      <w:r>
        <w:t>Invoquant une violation de l’art. 63a al.</w:t>
      </w:r>
    </w:p>
    <w:p>
      <w:r>
        <w:rPr>
          <w:b/>
        </w:rPr>
        <w:t>E. 2.2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traitement ambulatoire suppose en principe que l'auteur reste en liberté. Il peut toutefois être appliqué pendant l'exécution d'une peine privative de liberté, lorsque le traitement ambulatoire exécuté en liberté paraît dangereux pour autrui (cf. art. 63b al. 3 CP; ATF 143 IV 445 consid. 1).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(ATF 143 IV 445 précité consid. 2.2; ATF 136 IV 156 consid. 2.3). Selon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Une telle prolongation est possible aussi souvent que cela est nécessaire. La mesure ne prend pas fin avec l’écoulement du temps, mais dure en principe le temps nécessaire pour que son but soit atteint ou jusqu’à ce qu’il paraisse exclu qu'il puisse l'être (ATF 143 IV 445 précité et les références citées; ATF 141 IV 236 consid. 3.5; ATF 141 IV 49 consid. 2.1). Aux termes de l’art. 63a al. 1 CP, l’autorité compétente vérifie au moins une fois par an s’il y a lieu de poursuivre le traitement ambulatoire ou de l’arrêter. Au préalable, elle entend l’auteur et demande un rapport à la personne chargée du traitement. Une mesure dont les conditions ne sont plus remplies doit être levée (art. 56 al.</w:t>
      </w:r>
    </w:p>
    <w:p>
      <w:r>
        <w:rPr>
          <w:b/>
        </w:rPr>
        <w:t>E. 2.3</w:t>
      </w:r>
    </w:p>
    <w:p>
      <w:r>
        <w:t>En l’espèce, dans son jugement du 27 octobre 2015, le Tribunal de police de l’arrondissement de Lausanne a constaté, en substance, que le condamné présentait un trouble de type schizotypique qui le portait à la violence verbale, d’où diverses infractions. Avec le recourant, force est de constater que le changement de thérapeute en octobre 2019, associé à l’arrêt de la médication, a occasionné une péjoration de l’état du condamné. Le comportement de l’intéressé avec sa nouvelle thérapeute ne peut qu’être qualifié d’intolérable. Il n’a en effet eu de cesse de harceler sa psychologue par téléphone et de l’assaillir de propos de nature sexuelle, notamment le 22 avril 2020. Ces actes sont de même nature que ceux à l’origine de la condamnation du 27 octobre 2015 par le Tribunal de police de l’arrondissement de Lausanne. Les propos tenus par le condamné le 6 octobre 2020 lors de son audition par le Juge d’application des peines sont particulièrement inquiétants. Ils dénotent une distorsion de contact avec la réalité et une relation inadéquate avec le sexe opposé quelque cinq ans encore après la condamnation. Découlant à l’évidence du trouble de type schizotypique présenté de longue date par le condamné, cette attitude implique l’existence d’un important risque de réitération d’infractions, notamment contre l’honneur, au préjudice de personnes de sexe féminin. Cela étant, le constat pessimiste posé quant à la période s’étendant d’octobre 2019 à avril 2020 n’implique pas que la poursuite du traitement ambulatoire soit vouée à l’échec au sens de l’art. 63a al. 2 let. b CP. En effet, le dernier rapport du SMPP, établi le 25 août 2020, indique que le suivi prodigué par le Dr Künzle de décembre 2015 à octobre 2019 avait eu des effets relativement favorables; comme déjà indiqué, c’est bien plutôt le changement de thérapeute et l’arrêt de la médication qui ont mené à une péjoration. De fait, aucun comportement inadéquat du condamné n’a été relevé durant la prise en charge par le Dr Künzle, qui s’est étendue sur plus de trois ans et demi. Cette durée est suffisamment longue pour permettre de porter une appréciation quant à l’effet de cette thérapie. La Cour peine du reste à comprendre que le condamné ait été confié à un thérapeute de sexe féminin avant, justement, que la thérapie ne soit reprise par le psychologue [...] en mai 2020 sans que le patient ne s’en prenne à son nouveau thérapeute. Ainsi, la décompensation survenue à partir d’octobre 2019 ne constitue qu’une crise provisoire de l'intéressé au sens de la jurisprudence (TF 6B_253/2015 et TF 6B_460/2011, précités). Dès lors, compte tenu du bilan thérapeutique antérieur relativement favorable, celle-ci ne suffit pas à admettre que la poursuite du traitement ambulatoire paraisse vouée à l’échec au sens de l’art. 63a al. 2 let. b CP. En d’autres termes, on ne saurait partir du principe que le traitement ambulatoire soit durablement compromis par la rénitence de l’intimé ou que la péjoration survenue soit irréversible. Les conditions posées à un arrêt du traitement ne sont ainsi pas réunies. La mesure thérapeutique doit bien plutôt être poursuivie pour la durée minimale prévue par l’art. 63 al. 4 CP, soit un an.</w:t>
      </w:r>
    </w:p>
    <w:p>
      <w:r>
        <w:rPr>
          <w:b/>
        </w:rPr>
        <w:t>E. 2.4</w:t>
      </w:r>
    </w:p>
    <w:p>
      <w:r>
        <w:t>Au surplus, l’instabilité de l’état du condamné en relation avec son trouble de type schizotypique, sa propension à la violence verbale et son attitude à l’égard du sexe opposé occasionnent un risque majeur de réitération, ce qui commande de confirmer l’assistance de probation et l’interdiction de contact avec [...] pour la durée du traitement ambulatoire mentionné ci-dessus. 3. En définitive, le recours doit être admis et l’ordonnance attaquée réformée en ce sens que la poursuite du traitement ambulatoire au sens de l’art. 63 CP prononcé à l’endroit du condamné par jugement du Tribunal de police de l’arrondissement de Lausanne du 27 octobre 2015 est ordonnée pour une durée d’un an, d’une part, et que l’assistance de probation et l’interdiction de contact avec [...] prononcées à l’endroit du condamné par ordonnance du Juge d’application des peines du 6 février 2018 sont confirmées pour la durée du traitement ambulatoire susmentionné, d’autre part. Les frais de la procédure de recours, constitués en l’espèce de l’émolument d'arrêt, par 1’540 fr. (art. 20 al. 1 TFIP), seront laissés à la charge de l’Etat (art. 423 al. 1 CPP). Par ces motifs, la Chambre des recours pénale prononce : I. Le recours est admis. II. L’ordonnance du 7 décembre 2020 du Juge d’application des peines est réformée aux chiffres I et II de son dispositif comme il suit : « I. ordonne la poursuite du traitement ambulatoire au sens de l’art. 63 CP prononcé à l’endroit de R.________ par jugement du Tribunal de police de l’arrondissement de Lausanne du 27 octobre 2015 pour une durée d’un an; II. confirme l’assistance de probation et l’interdiction de contact avec [...] prononcées à l’endroit de R.________ par ordonnance du Juge d’application des peines du 6 février 2018 pour la durée du traitement ambulatoire mentionné au chiffre I ci-dessus. ». L’ordonnance est confirmée pour le surplus. III. Les frais d’arrêt, par 1'540 fr. (mille cinq cent quarante francs), sont laissés à la charge de l’Etat. IV. L’arrêt est exécutoire. Le président :               Le greffier : Du Le présent arrêt, dont la rédaction a été approuvée à huis clos, est notifié, par l'envoi d'une copie complète, à : - M. R.________, - Ministère public central, et communiqué à : ‑ Mme la Juge d’application des peines, - M. le Procureur de l’arrondissement de Lausanne, - Office d’exécution des peines, - Fondation vaudoise de probation,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6</w:t>
      </w:r>
    </w:p>
    <w:p>
      <w:r>
        <w:t>CP). Ainsi, à teneur de l’art. 63a al. 2 CP, l’autorité compétente ordonne l’arrêt du traitement ambulatoire notamment (a) lorsque celui-ci s’est achevé avec succès ou (b) si sa poursuite paraît vouée à l’échec. L'échec du traitement ambulatoire ne doit pas être admis à la légère. Une crise provisoire de l'intéressé ne suffit pas (TF 6B_253/2015 du 23 juillet 2015 consid. 2.1; TF 6B_460/2011 du 16 septembre 2011 consid. 2.6). En revanche, une absence suivie de coopération ou un comportement rénitent de l’intéressé peuvent justifier de considérer que le traitement a échoué (TF 6B_460/2011 précité).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(ATF 143 IV 445 précité et les références citées; TF 6B_253/2015 précité consid.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