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55 vom 19. Januar 2021</w:t>
      </w:r>
    </w:p>
    <w:p>
      <w:r>
        <w:t>VD Tribunal cantonal, 2021-01-19, FR</w:t>
      </w:r>
    </w:p>
    <w:p>
      <w:r>
        <w:rPr>
          <w:b/>
        </w:rPr>
        <w:t xml:space="preserve">Quelle: </w:t>
      </w:r>
      <w:r>
        <w:t>https://mcp.opencaselaw.ch/entscheid/vd_findinfo_D_cision___2021___55</w:t>
      </w:r>
    </w:p>
    <w:p>
      <w:r>
        <w:t>FR: VD_FINDINFO Décision / 2021 / 55 du 19 janvier 2021</w:t>
      </w:r>
    </w:p>
    <w:p>
      <w:r>
        <w:t>IT: VD_FINDINFO Décision / 2021 / 55 del 19 gennaio 2021</w:t>
      </w:r>
    </w:p>
    <w:p>
      <w:pPr>
        <w:pStyle w:val="Heading2"/>
      </w:pPr>
      <w:r>
        <w:t>Regeste</w:t>
      </w:r>
    </w:p>
    <w:p>
      <w:r>
        <w:t>SÉQUESTRE{MESURE PROVISIONNELLE}, SUPPRESSION{EN GÉNÉRAL}, ADMISSION DE LA DEMANDE | 263 CPP (CH), 267 al. 1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2 e éd., Bâle 2016, n. 24 ad art. 263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dans le délai légal (art. 396 al. 1 CPP), par le titulaire de la relation bancaire séquestrée, qui a qualité pour recourir (art. 382 al. 1 CPP), et dans les formes prescrites (art. 385 al. 1 CPP), le recours est recevable. La Cour n’est pas liée par les conclusions du recours (Moreillon/Parein-Reymond, op. cit., n. 4 ad art. 385 CPP). A toutes fins utiles, il sera précisé que le plaignant [...] n’est pas partie à la présente procédure de recours, dès lors qu’il n’est pas touché par l’affectation du prêt COVID accordé le 20 avril 2020, seule incriminée en relation avec le séquestre litigieux.</w:t>
      </w:r>
    </w:p>
    <w:p>
      <w:r>
        <w:rPr>
          <w:b/>
        </w:rPr>
        <w:t>E. 2.1</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En tant que mesure de contrainte au sens de l’art. 196 CPP, le séquestre suppose notamment, que des soupçons suffisants laissent présumer une infraction pénale (art. 197 al. 1 let. b CPP). Des mesures de contraintes ne sauraient être motivées par l’absence de preuves à décharge; au contraire, l’art. 197 al. 1 let. b CPP exige des charges suffisantes, c’est-à-dire la présence d’indices sérieux et concrets d’infraction pénale.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les charges contre le prévenu ne se sont pas confirmées (Moreillon/Parein-Reymond, op. cit., nn. 2 ss ad art. 267 CPP).</w:t>
      </w:r>
    </w:p>
    <w:p>
      <w:r>
        <w:rPr>
          <w:b/>
        </w:rPr>
        <w:t>E. 2.2</w:t>
      </w:r>
    </w:p>
    <w:p>
      <w:r>
        <w:t>En l’espèce, l’instruction menée à ce jour a révélé l’inanité des soupçons conçus par [...] et des faits dénoncés par le Bureau de communication en matière de blanchiment d’argent. En effet, en l’état du dossier, les versements faits à la [...] s’expliquent par les relations d’affaires du recourant avec celle-ci, ce dont il peut être déduit que le bénéficiaire du prêt n’a pas détourné le crédit COVID pour s’adonner au jeu. En outre, les prélèvements en espèces, qui ne sont en soi pas interdits, ont, selon les preuves convergentes réunies à ce jour, servi au paiement de charges de loyer, d’électricité et de salaire. Ainsi, selon tous les éléments qui se trouvent (positivement) au dossier, l’argent du prêt a servi au paiement des charges courantes de l’entreprise exploitée par le prévenu. Le soupçon d’escroquerie ou d’abus de confiance invoqué par le Ministère public ne repose que sur l’absence de preuves à décharge plus fortes. Le soupçon initial, qui n’a pas été corroboré, ne suffit dès lors plus à justifier un séquestre.</w:t>
      </w:r>
    </w:p>
    <w:p>
      <w:r>
        <w:rPr>
          <w:b/>
        </w:rPr>
        <w:t>E. 2.3</w:t>
      </w:r>
    </w:p>
    <w:p>
      <w:r>
        <w:t>Le Ministère public ne soutient du reste pas le contraire. En effet, dans son ordonnance, il motive le maintien du séquestre exclusivement par un « soupçon d’éventuelle escroquerie », l’analyse en cours de la comptabilité, devant permettre, selon lui, de déterminer si les données figurant dans le contrat de prêt sont conformes à la réalité. Ce faisant, la Procureure justifie le séquestre par un soupçon autre que celui qui a motivé l’extension de la procédure pénale, à savoir par celui d’un mensonge proféré par le prévenu lorsqu’il avait indiqué son chiffre d’affaires à la banque créancière. Or, il n’existe, en l’état, aucun indice d’un tel mensonge. La masse salariale déclarée à la banque correspond en effet à celle annoncée précédemment à la Caisse de compensation AVS (cf. P 87, p. 3). L’analyse en cours a toutes les apparences d’une mesure d’instruction exploratoire (« fishing expedition »), qui ne saurait en principe justifier une mesure de contrainte (cf. not. TF 1B_313/2020 et 1B_314/2020 du 4 novembre 2020 consid. 5.1). Partant, le séquestre est illicite et doit dès lors être levé sans délai.</w:t>
      </w:r>
    </w:p>
    <w:p>
      <w:r>
        <w:rPr>
          <w:b/>
        </w:rPr>
        <w:t>E. 3</w:t>
      </w:r>
    </w:p>
    <w:p>
      <w:r>
        <w:t>Il résulte de ce qui précède que le recours doit être admis et l'ordonnance attaquée réformée en ce sens que la requête de levée du séquestre est admise, que le séquestre de la relation bancaire [...] auprès d’[...], ordonné le 2 juin 2020, est levé avec effet immédiat et que les frais de la décision sont laissés à la charge de l’Etat (cf. l’art. 428 al. 3 CPP). Les frais de la procédure de recours, par 880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(3 heures au tarif horaire de 180 fr.), des débours forfaitaires par 10 fr. 80 (cf. art. 26b TFIP qui renvoie à l'art. 3 bis RAJ [règlement sur l’assistance judiciaire en matière civile du 7 décembre 2010; BLV 211.02.3]) et la TVA sur le tout, au taux de 7,7%, par 42 fr. 40, seront laissés à la charge de l’Etat (art. 423 al. 1 CPP). Par ces motifs, la Chambre des recours pénale prononce : I. Le recours est admis. II. L’ordonnance du 27 novembre 2020 est réformée comme il suit : « I. La requête de levée du séquestre est admise. II. Le séquestre de la relation bancaire [...] auprès d’[...], ordonné le 2 juin 2020, est levé avec effet immédiat. III. Les frais de la décision sont laissés à la charge de l’Etat ». III. L’indemnité allouée au défenseur d’office d’H.________ est fixée à 594 fr. (cinq cent nonante-quatre francs). IV. Les frais d’arrêt, par 880 fr. (huit cent huitante francs), ainsi que l’indemnité allouée au défenseur d’office du recourant, par 594 fr. (cinq cent nonante-quatre francs), sont laissés à la charge de l’Etat. V. L’arrêt est exécutoire. Le président :               Le greffier : Du Le présent arrêt, dont la rédaction a été approuvée à huis clos, est notifié, par l'envoi d'une copie complète, à : - Me Pierre-Xavier Luciani, avocat (pour H.________), - Ministère public central; et communiqué à : - Mme la Procureure du Ministère public de l’arrondissement de La Côte, - [...], service juridique, - Office fédéral de la police (FEDPOL), MROS (réf. CaseW-000506),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