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539 vom 4. März 2021</w:t>
      </w:r>
    </w:p>
    <w:p>
      <w:r>
        <w:t>VD Tribunal cantonal, 2021-03-04, FR</w:t>
      </w:r>
    </w:p>
    <w:p>
      <w:r>
        <w:rPr>
          <w:b/>
        </w:rPr>
        <w:t xml:space="preserve">Quelle: </w:t>
      </w:r>
      <w:r>
        <w:t>https://mcp.opencaselaw.ch/entscheid/vd_findinfo_D_cision___2021___539</w:t>
      </w:r>
    </w:p>
    <w:p>
      <w:r>
        <w:t>FR: VD_FINDINFO Décision / 2021 / 539 du 4 mars 2021</w:t>
      </w:r>
    </w:p>
    <w:p>
      <w:r>
        <w:t>IT: VD_FINDINFO Décision / 2021 / 539 del 4 marzo 2021</w:t>
      </w:r>
    </w:p>
    <w:p>
      <w:pPr>
        <w:pStyle w:val="Heading2"/>
      </w:pPr>
      <w:r>
        <w:t>Regeste</w:t>
      </w:r>
    </w:p>
    <w:p>
      <w:r>
        <w:t>FAUX INTELLECTUEL DANS LES TITRES, FAUX MATÉRIEL DANS LES TITRES, ESCROQUERIE, DÉCISION D'IRRECEVABILITÉ, ADMISSION DE LA DEMANDE | 146 al. 1 CP, 251 ch. 1 CP, 310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les parties plaignantes qui ont qualité pour recourir (art. 382 al. 1 CPP) et dans les formes prescrites (art. 385 al. 1 CPP), le recours de Q.________ et de L.________ est recevable.</w:t>
      </w:r>
    </w:p>
    <w:p>
      <w:r>
        <w:rPr>
          <w:b/>
        </w:rPr>
        <w:t>E. 2</w:t>
      </w:r>
    </w:p>
    <w:p>
      <w:r>
        <w:t>al. 2 CPP ;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w:t>
      </w:r>
    </w:p>
    <w:p>
      <w:r>
        <w:rPr>
          <w:b/>
        </w:rPr>
        <w:t>E. 2.2</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ATF 132 IV 12 consid. 8.1 ; ATF 129 IV 130 consid. 2.1 ; ATF 126 IV 65 consid. 2a ; TF 6B_891/2018 du 31 octobre 2018 consid. 3.3.1). La jurisprudence a reconnu une force probante accrue aux ordres de virement en tant qu’ils mentionnent le motif de celui-ci (TF 6B_1001/2009 du 23 avril 2010 consid. 2.2.2), et aux factures lorsqu’elles sont remises en tant que composante de la comptabilité de son émetteur (ATF 117 IV 35 consid. 2b). De jurisprudence constante,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(TF 6B_1001/2009 du 23 avril 2010 consid. 2.2.1). La valeur probante accrue d’un titre peut également découler d’usages commerciaux. Selon la doctrine majoritaire et la jurisprudence du Tribunal fédéral, il est nécessaire que l’auteur du titre se trouve dans une position analogue à celle d’un garant (Dupuis et alii, Petit commentaire du Code pénal, Bâle 2017, 2 e éd., n. 37 ad art. 251 CP). Une relation particulièrement étroite, de longue durée ou basée sur une confiance accrue peut fonder une elle position de garant (TF 6B_844/2011 du 28 juin 2012 consid. 3.2.1).</w:t>
      </w:r>
    </w:p>
    <w:p>
      <w:r>
        <w:rPr>
          <w:b/>
        </w:rPr>
        <w:t>E. 2.3</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op. cit., nn. 11 ss ad art. 146 CP et les réf. citées).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255 consid. 2 e , JdT 2004 IV 159 ; ATF 115 IV 31 consid. 3a ; Corboz, Les infractions en droit suisse, vol. I, 3 e éd., Berne 2010, nn. 31 et 38 ad art. 146 CP ; Dupuis et alii, op. cit., n. 32 ad art. 146 CP). Il est à noter que ce n’est exceptionnellement que le caractère astucieux d’une tromperie peut être nié en raison d’une coresponsabilité de la victime (ATF 135 IV 76 consid. 5.2).</w:t>
      </w:r>
    </w:p>
    <w:p>
      <w:r>
        <w:rPr>
          <w:b/>
        </w:rPr>
        <w:t>E. 3.1</w:t>
      </w:r>
    </w:p>
    <w:p>
      <w:r>
        <w:t>En l’occurrence, le procureur a rendu une ordonnance de non-entrée en matière s’agissant des infractions de faux dans les titres et d’escroquerie sur le seul vu de la plainte pénale et de ses annexes. Pour les motifs qui suivent, la Chambre de céans considère cependant qu’il est impossible d’écarter d’emblée la commission de ces infractions.</w:t>
      </w:r>
    </w:p>
    <w:p>
      <w:r>
        <w:rPr>
          <w:b/>
        </w:rPr>
        <w:t>E. 3.1.1</w:t>
      </w:r>
    </w:p>
    <w:p>
      <w:r>
        <w:t>S’agissant de l’infraction d’escroquerie, le principe de coresponsabilité de la victime, tel qu’invoqué par le procureur, ne saurait être utilisé pour nier trop aisément le caractère astucieux de la tromperie, et il ne saurait être retenu d’office lorsque l’auteur, comme en l’espèce, paraît user d’un faux document pour parvenir à ses fins, particulièrement en raison du fait que par le passé quatre autres transactions du même type avaient été réalisées avec succès entre ces mêmes parties, ce qui laisse fortement penser qu’un rapport de confiance particulier existait entre elles. En outre il semblerait que la tromperie portait sur la volonté d’exécuter le contrat, ce qui aurait dû pousser le procureur à ouvrir une instruction, à tout le moins afin d’éclaircir ce point. On ne peut ainsi pas d’emblée exclure que A.U.________ et B.U.________ puissent avoir, par diverses manigances et au travers de leur société C.________, au moyen de documents possiblement faux (cf. consid. 3.1.2 infra), induit ou tenté d’induire en erreur Q.________ et l’auraient ainsi astucieusement déterminée à des actes préjudiciables à ses intérêts pécuniaires. Partant, le Ministère public ne pouvait pas exclure la commission de l’infraction de l’art. 146 CP.</w:t>
      </w:r>
    </w:p>
    <w:p>
      <w:r>
        <w:rPr>
          <w:b/>
        </w:rPr>
        <w:t>E. 3.1.2</w:t>
      </w:r>
    </w:p>
    <w:p>
      <w:r>
        <w:t>Ensuite, le procureur affirme en substance qu’un ordre de virement ne serait pas un titre car il serait dépourvu de valeur probante accrue. Or, l’ordre de virement en question (P. 15) mentionne le motif du paiement et pourrait constituer, selon la jurisprudence du Tribunal fédéral, un titre à valeur probante accrue (cf. consid. 2.2 ci-dessus). Selon les recourants, ce document, portant confirmation des instructions de transferts effectuées, aurait permis à C.________, ainsi qu’à A.U.________ et à B.U.________, d’obtenir la livraison de la marchandise alors que ces derniers auraient su que ce document ne reflétait pas la réalité d’un transfert bancaire puisqu’à la date de l’émission de cet ordre de virement, les comptes de la société C.________ étaient bloqués, de sorte que les prévenus ne pouvaient ignorer que les contrats ne pourraient pas être exécutés. Il apparaît ainsi que l’ordre de virement litigieux aurait pu contribuer à la réalisation d’une escroquerie. Il convient ainsi d’éclaircir la situation, notamment en procédant à l’audition des parties sur cette question. En outre, s’agissant de la facture du 31 décembre 2019 émise par C.________, il semblerait qu’elle ait été produite dans la comptabilité de cette société dès lors que l’Office des poursuites de Schaffouse en avait réclamé le montant dans la procédure de faillite de C.________. La comptabilité commerciale et ses éléments (pièces justificatives, livres, extraits de compte, bilans ou comptes de résultat) étant, en vertu de la loi, propres et destinés à prouver des faits ayant une portée juridique (cf. consid. 2.2 ci-dessus), le grief doit être admis.</w:t>
      </w:r>
    </w:p>
    <w:p>
      <w:r>
        <w:rPr>
          <w:b/>
        </w:rPr>
        <w:t>E. 4</w:t>
      </w:r>
    </w:p>
    <w:p>
      <w:r>
        <w:t>Il résulte de ce qui précède que le recours doit être admis, l'ordonnance entreprise annulée et la cause renvoyée au Ministère public pour qu'il ouvre une instruction pénale s’agissant des infractions d’escroquerie et de faux dans les titres. Les frais de la procédure de recours sont fixés 1’100 fr. (art. 20 al. 1 TFIP [Tarif des frais de procédure et indemnités en matière pénale du 28 septembre 2010 ; BLV 312.03.1]). Les recourants, qui ont procédé avec l’assistance d’un avocat de choix, ont droit, solidairement entre eux, à une indemnité pour les dépenses occasionnées par la procédure de recours. Cette indemnité sera fixée à 1’200 fr., sur la base de quatre heures d’activité nécessaire au tarif horaire de 300 fr. (art. 26a al. 3 TFIP), à laquelle s’ajoutent 2 % pour les débours (art. 19 al. 2 TDC [Tarif des dépens en matière civile du 23 novembre 2010 ; BLV 270.11.6] par renvoi de l'art. 26a al. 6 TFIP) et 7,7% pour la TVA, ce qui correspond à la somme de 1'319 fr. au total en chiffres arrondis. Vu le sort du recours, les frais de procédure, par 1’100 fr., ainsi que l’indemnité allouée à la recourante, par 1’319 fr., seront laissés à la charge de l'Etat (art. 423 al. 1 CPP). Par ces motifs, la Chambre des recours pénale prononce : I. Le recours est admis. II. L’ordonnance du 1 er février 2021 est annulée. III. Le dossier de la cause est renvoyé au Ministère public de l’arrondissement de La Côte pour qu’il procède dans le sens des considérants. IV. Les frais d’arrêt, par 1’100 fr. (mille cent francs), sont laissés à la charge de l’Etat. V. Une indemnité de 1’319 fr. (mille trois cent dix-neuf francs) est allouée à Q.________et L.________, solidairement entre eux, pour la procédure de recours, à la charge de l’Etat. VI. L’arrêt est exécutoire. Le président :               La greffière : Du Le présent arrêt, dont la rédaction a été approuvée à huis clos, est notifié, par l'envoi d'une copie complète, à : - Me Thierry Ador, avocat (pour [...] et L.________),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