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523 vom 25. Mai 2021</w:t>
      </w:r>
    </w:p>
    <w:p>
      <w:r>
        <w:t>VD Tribunal cantonal, 2021-05-25, FR</w:t>
      </w:r>
    </w:p>
    <w:p>
      <w:r>
        <w:rPr>
          <w:b/>
        </w:rPr>
        <w:t xml:space="preserve">Quelle: </w:t>
      </w:r>
      <w:r>
        <w:t>https://mcp.opencaselaw.ch/entscheid/vd_findinfo_D_cision___2021___523</w:t>
      </w:r>
    </w:p>
    <w:p>
      <w:r>
        <w:t>FR: VD_FINDINFO Décision / 2021 / 523 du 25 mai 2021</w:t>
      </w:r>
    </w:p>
    <w:p>
      <w:r>
        <w:t>IT: VD_FINDINFO Décision / 2021 / 523 del 25 maggio 2021</w:t>
      </w:r>
    </w:p>
    <w:p>
      <w:pPr>
        <w:pStyle w:val="Heading2"/>
      </w:pPr>
      <w:r>
        <w:t>Regeste</w:t>
      </w:r>
    </w:p>
    <w:p>
      <w:r>
        <w:t>SÉQUESTRE{MESURE PROVISIONNELLE}, VÉHICULE, CONFISCATION{DROIT PÉNAL}, RÉALISATION{EN GÉNÉRAL}, COMPÉTENCE | 69 CP, 90a LCR, 263 CPP (CH), 266 al. 5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 e éd., Bâle 2019 [cité ci-après : CR-CPP], n. 4 ad art. 267 CPP; Moreillon/Parein-Reymond, Code de procédure pénale, Petit commentaire,</w:t>
      </w:r>
    </w:p>
    <w:p>
      <w:r>
        <w:rPr>
          <w:b/>
        </w:rPr>
        <w:t>E. 1.2</w:t>
      </w:r>
    </w:p>
    <w:p>
      <w:r>
        <w:t>En l’espèce, interjeté en temps utile (art. 396 al. 1 CPP), par le propriétaire du véhicule séquestré, et qui a donc qualité pour recourir (art. 382 al. 1 CPP), et dans les formes prescrites (art. 385 al. 1 CPP), le recours de Y.________ est recevable.</w:t>
      </w:r>
    </w:p>
    <w:p>
      <w:r>
        <w:rPr>
          <w:b/>
        </w:rPr>
        <w:t>E. 2</w:t>
      </w:r>
    </w:p>
    <w:p>
      <w:r>
        <w:t>Le recourant invoque une constatation inexacte des faits, dans la mesure où il conteste avoir reconnu conduire sous l’effet de stupéfiants depuis plus de 15 ans, mais uniquement consommer des stupéfiants depuis plus de 15 ans. Il soutient aussi que son arrestation n’est pas intervenue à la suite d’un excès de vitesse, d’un accident, d’une perte de maîtrise ou d’une autre infraction qui aurait nécessité l’intervention de la police, de sorte que la condition que la mesure doive pouvoir empêcher la commission d’autres infractions ne serait pas réalisée, d’autant plus qu’il est détenu et ne peut donc pas faire usage de sa voiture. Selon lui, un retrait de son permis de conduire et de la carte grise du véhicule serait donc suffisant. Il soutient ensuite qu’on ne saurait séquestrer le produit de vente de son véhicule, dès lors que cela porterait atteinte à son minimum vital. Enfin, le recourant expose que le Ministère public n’aurait pas la compétence d’ordonner la confiscation et la réalisation du véhicule au sens de l’art. 69 CP, même en application par analogie de l’art. 266 al. 5 CPP, un véhicule non utilisé n’étant pas susceptible de se déprécier rapidement. Il conteste également que les coûts liés au stationnement du véhicule puissent constituer un entretien dispendieux au sens de cette disposition, le véhicule pouvant être placé sur sa place de parc privée. De toute manière, selon le recourant, même si le véhicule devait être placé à la fourrière, le Ministère public n’expliquerait pas – et il n’y aurait pas lieu de le présumer – en quoi les frais de conservation seraient à ce point dispendieux qu’ils justifieraient d’appliquer l’art. 266 al. 5 CPP.</w:t>
      </w:r>
    </w:p>
    <w:p>
      <w:r>
        <w:rPr>
          <w:b/>
        </w:rPr>
        <w:t>E. 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(CREP 29 septembre 2020/740 consid. 2.2.2 et les références citées).</w:t>
      </w:r>
    </w:p>
    <w:p>
      <w:r>
        <w:rPr>
          <w:b/>
        </w:rPr>
        <w:t>E. 2.1.2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ou, en matière d’infractions routières, art. 90a LCR [cf. TF 1B_252/2014 du 3 novembre 2014 consid. 2.4]), de leur origine ou de leur utilisation criminelle (art. 70 et 72 CP) pour autant que l'on puisse admettre, prima facie , qu'ils pourront, au terme de la procédure pénale, être détruits, restitués au lésé ou confisqués en application des art. 69 ss CP ou d’autres normes de confiscation spéciales (Julen Berthod, in : Jeanneret/Kuhn/Perrier DepeursingeKuhn/Jeanneret, op. cit., n. 7 ad art. 263 CPP).</w:t>
      </w:r>
    </w:p>
    <w:p>
      <w:r>
        <w:rPr>
          <w:b/>
        </w:rPr>
        <w:t>E. 2.1.3</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En particulier, les véhicules automobiles peuvent êtres confisqués en application de l’art. 69 CP lorsqu’ils ont été utilisés par une bande de malfaiteurs pour commettre des vols en plusieurs endroits ou lorsqu'ils ont servi au transport de drogue et d'espèces provenant d'une activité délictueuse (Dupuis et alii , Petit commentaire CP, 2 e éd., Bâle 2017, n. 4 ad art. 69 CP et les arrêts cités).</w:t>
      </w:r>
    </w:p>
    <w:p>
      <w:r>
        <w:rPr>
          <w:b/>
        </w:rPr>
        <w:t>E. 2.1.4</w:t>
      </w:r>
    </w:p>
    <w:p>
      <w:r>
        <w:t>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ATF 139 IV 250 consid. 2.3.3, JdT 2014 IV 89; TF 1B_275/2013 du 28 octobre 2013 consid. 2.3.3;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ATF 139 IV 250 précité;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CREP 18 septembre 2018/718 précité; CREP 11 mai 2018/246 consid. 2.2).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Dupuis et alii ., op. cit.,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TF 1B_252/2014 du 3 novembre 2014 consid. 2.1; TF 1B_127/2013 du 1 er mai 2013 consid. 2.2).</w:t>
      </w:r>
    </w:p>
    <w:p>
      <w:r>
        <w:rPr>
          <w:b/>
        </w:rPr>
        <w:t>E. 2.2</w:t>
      </w:r>
    </w:p>
    <w:p>
      <w:r>
        <w:t>En l’espèce, il est exact que le recourant a admis qu’il consommait des produits stupéfiants depuis 15 ans, qu’il avait passé son permis de conduire sous l’effet de produits cannabiques, et non qu’il avait circulé au volant de sa voiture sous l’emprise de stupéfiants depuis 15 ans. Agé de 30 ans, il ne peut du reste pas être titulaire du permis de conduire depuis 15 ans. Il n’en demeure pas moins qu’il résulte de ses déclarations qu’il consomme des produits stupéfiants depuis qu’il est détenteur d’un permis de conduire, que cette consommation semble avoir été ininterrompue, et que lorsqu’il avait encore un emploi, il consommait quotidiennement de la méthamphétamine, soit les cinq dernières années avant le Covid selon ses dires (PV aud. 7, l. 59 ss). De plus, le recourant a fait l’objet d’une condamnation le 27 mars 2020 pour conduite d’un véhicule automobile malgré le refus, le retrait ou l’interdiction de l’usage d’un permis. Enfin, l’intéressé était sous l’emprise de méthamphétamine, d’amphétamine et de THC lorsqu’il a été arrêté le 25 mars 2021, ce qui a été confirmé par un test Drugwipe et ensuite par des analyses de sang et d’urine. Dans ces circonstances, il n’est pas arbitraire de retenir, à ce stade de l’enquête, qu’il existe des soupçons suffisants que le recourant a enfreint gravement les règles de la circulation routière – non depuis 15 ans, mais à tout le moins depuis plus d’une dizaine d’années – et qu’il a circulé sous l’emprise de stupéfiants à de très nombreuses reprises, voire toujours.</w:t>
      </w:r>
    </w:p>
    <w:p>
      <w:r>
        <w:rPr>
          <w:b/>
        </w:rPr>
        <w:t>E. 2.3</w:t>
      </w:r>
    </w:p>
    <w:p>
      <w:r>
        <w:t>Ainsi, même si l’interpellation du prévenu n’est pas intervenue ensuite d’un accident ou d’une perte de maîtrise, il y a lieu de considérer qu’il existe, à ce stade de la procédure, des soupçons suffisants que le prévenu a violé gravement les règles de la circulation routière au sens de l’art. 90 al. 2 LCR, en circulant pendant de nombreuses années alors qu’il était sous l’emprise de stupéfiants, de sorte que la condition posée à l’art. 90a al. 1 let. a LCR apparaît prima facie réalisée, étant précisé que dans la procédure de séquestre, la condition cumulative de l’absence de scrupules n’a pas à être examinée (ATF 140 IV 133 consid. 4.2.1). Ensuite, le recourant ne peut pas se prévaloir du fait qu’il est actuellement détenu pour s’opposer au séquestre. Il perd en effet de vue qu’en l’état de l’enquête, l’ampleur de son activité délictueuse n’est pas établie et qu’on ne saurait affirmer qu’il restera détenu jusqu’à ce qu’un jugement au fond soit rendu. Dans ces circonstances, il y a lieu de retenir que la condition de l’art. 90a al. 1 let. b LCR est réalisée à ce stade, le risque que l’intéressé commette d’autres violations graves des règles de la circulation routière ne pouvant être exclu s’il devait être libéré. Or, son antécédent du 27 mars 2020 démontre qu’un retrait de son permis de conduire serait insuffisant. De surcroît, dans l’hypothèse où le prévenu aurait roulé pendant des années en étant sous l’influence de stupéfiants, il pourrait être considéré comme un auteur d’infractions chroniques au code de la route, de sorte que son véhicule pourrait devoir être considéré comme un objet dangereux au sens de l’art. 69 CP, ce qui justifierait encore le séquestre pour cet autre motif. Enfin, il existe à ce stade et à l’évidence – compte tenu des mises en cause de plusieurs consommateurs dont le juge du séquestre n’a pas à apprécier la crédibilité – des soupçons suffisants que le prévenu se soit servi de son véhicule dans le cadre d’un trafic de stupéfiants, en particulier pour des livraisons en divers endroits de Suisse romande. Il est ainsi à craindre que le véhicule séquestré serve à nouveau au prévenu pour s’adonner à un trafic s’il pouvait en disposer, ce qui justifierait déjà de le séquestrer en vue de sa confiscation potentielle pour ce seul motif.</w:t>
      </w:r>
    </w:p>
    <w:p>
      <w:r>
        <w:rPr>
          <w:b/>
        </w:rPr>
        <w:t>E. 2.4.1</w:t>
      </w:r>
    </w:p>
    <w:p>
      <w:r>
        <w:t>Si l’art. 69 al. 1 CP attribue au « juge » la compétence de prononcer la confiscation des objets dangereux, soit à un tribunal indépendant et impartial au sens de l’art. 6 par. 1 CEDH (Convention de sauvegarde des droits de l’homme et des libertés fondamentales du 4 novembre 1950; RS 0.101), il n’est pas exclu qu’un organe non juridictionnel tel que le Ministère public, qui ne satisfait pas aux garanties conventionnelles précitées, ainsi qu’aux art. 29a et 30 Cst. (Constitution fédérale de la Confédération suisse du 18 avril 1999; RS 101), rende une décision de confiscation; selon la jurisprudence rendue avant l’entrée en vigueur du CPP, dans cette hypothèse, le justiciable devait disposer d’un recours devant un organe judiciaire indépendant, qui jouit – comme la Cour de céans – d’une pleine cognition en fait et en droit (ATF 133 IV 278 consid. 2.2 et les références citées; CREP 20 août 2020/648). Depuis lors, le CPP attribue explicitement la compétence d’ordonner une confiscation également au Ministère public (cf. art. 320 al. 2, 353 al. 1 let. h et, surtout, 377 al. 2 CPP), respectivement à l’autorité administrative instituée pour la poursuite et le jugement des contraventions (cf. art. 357 al. 2 CPP qui renvoie aux art. 352 ss CPP; TF 6B_592/2016 du 13 janvier 2017 consid. 4.3). Selon le Tribunal fédéral, dans la mesure où les décisions rendues par ces autorités peuvent être attaquées par la voie de l’opposition (cf. art. 354 ss CPP auxquels renvoie soit l’art. 357 al. 2 CPP soit l’art. 377 al. 4 CPP), respectivement par la voie du recours (art. 393 al. 1 let. a CPP) devant une autorité judiciaire qui a un plein pouvoir d’examen en fait et en droit (art. 393 al. 2 CPP), leur compétence de statuer sur ce point ne contredit pas celle prévue par le CP, ni par ailleurs le droit à une décision judiciaire garantie par les art. 29a et 30 Cst. ainsi que par l’art. 6 CEDH (TF 6B_592/2016 précité, consid. 4.3). En tant que simple mesure provisoire, le séquestre ne préjuge pas de la décision matérielle de confiscation – qui est une mesure –, laquelle interviendra dans une phase ultérieure. Au stade du prononcé d’un séquestre, il suffit de déterminer si une mesure de confiscation ultérieure est probable;  il appartiendra en dernier ressort au juge du fond de déterminer, au terme d'une analyse complète de toutes les circonstances pertinentes, si les conditions matérielles d'une confiscation sont réunies (TF 1B_252/2014 du 3 novembre 2014 consid. 2, spéc. 2.4 et les références citées; TF 1B_127/2013 du 1 er mai 2013 consid. 2.2). L’art. 69 CP ne peut ainsi trouver application qu’une fois prononcé un jugement au fond (Favre/Pellet/Stoudmann, Code pénal annoté, 3 e éd., Lausanne 2011, n. 1.1 ad art. 69 CP; ATF 106 IV 302 consid. 1).</w:t>
      </w:r>
    </w:p>
    <w:p>
      <w:r>
        <w:rPr>
          <w:b/>
        </w:rPr>
        <w:t>E. 2.4.2</w:t>
      </w:r>
    </w:p>
    <w:p>
      <w:r>
        <w:t>Selon l’art. 69 al. 2 CP, le juge peut ordonner que les objets confisqués soient mis hors d'usage ou détruits. Il s’agit d’éviter que la mise en circulation de ces biens ne permette la commission d’autres infractions (Dupuis et alii ., op. cit., n. 22 ad art. 69 CP). Selon l’art. 266 al. 5 CPP,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faillite. Le produit est frappé de séquestre. Pratiquement, cette réalisation anticipée est une exception au principe général selon lequel le sort des objets saisis est tranché dans la décision finale (cf. art. 167 al. 3 CPP).</w:t>
      </w:r>
    </w:p>
    <w:p>
      <w:r>
        <w:rPr>
          <w:b/>
        </w:rPr>
        <w:t>E. 2.4.3</w:t>
      </w:r>
    </w:p>
    <w:p>
      <w:r>
        <w:t>Quant à l’art. 90a al. 2 LCR, il prévoit que le tribunal peut ordonner la réalisation du véhicule automobile confisqué et l’utilisation du produit perçu après déduction des coûts de réalisation et des frais de procédure. La référence au « tribunal » implique que cette décision appartient, dans la même mesure que dans le cadre de l’art. 69 CP, au juge du fond.</w:t>
      </w:r>
    </w:p>
    <w:p>
      <w:r>
        <w:rPr>
          <w:b/>
        </w:rPr>
        <w:t>E. 2.5</w:t>
      </w:r>
    </w:p>
    <w:p>
      <w:r>
        <w:t>En l’occurrence, s’il n’est pas exclu que le Ministère public prononce une confiscation lorsqu’il statue en tant que juge du fond, notamment en cas d’ordonnance pénale, il ne lui appartient pas de statuer sur cette question dans le cadre d’une ordonnance en cours d’instruction. Il s’ensuit que le recours est bien fondé sur ce point. Le procureur n’avait pas non plus la compétence pour ordonner la réalisation, soit la vente du véhicule, cette décision relevant également du juge du fond. En outre, les conditions de l’art. 266 al. 5 ne sont pas remplies en l’espèce. On ignore en effet quelle est la valeur du véhicule, quelle dépréciation celui-ci subirait du fait de l’écoulement du temps et quel est le coût du gardiennage de cette voiture. Par conséquent, on ne peut retenir que la conservation dudit véhicule engendrerait des frais dispendieux de mise en fourrière.</w:t>
      </w:r>
    </w:p>
    <w:p>
      <w:r>
        <w:rPr>
          <w:b/>
        </w:rPr>
        <w:t>E. 3</w:t>
      </w:r>
    </w:p>
    <w:p>
      <w:r>
        <w:t>Au vu de ce qui précède, le recours doit être partiellement admis et l’ordonnance réformée en ce sens que le séquestre du véhicule Volkswagen Golf 6, immatriculé VD [...] au nom de Y.________ est confirmé. L’ordonnance sera confirmée en tant que les frais suivent le sort de la cause. Compte tenu de la nature de l’affaire et du mémoire de recours produit – rédigé par une avocate-stagiaire –, l’indemnité du défenseur d’office de Y.________ sera fixée à 550 fr., correspondant à une activité nécessaire de 5 heures au tarif horaire de 110 fr., montant auquel il convient d’ajouter des débours forfaitaires à concurrence de 2 % des honoraires admis (art. 3 bis al. 1 RAJ [Règlement du 7 décembre 2010 sur l'assistance judiciaire en matière civile; BLV 211.02.3], applicable par renvoi de l’art. 26b TFIP [Tarif des frais de procédure et indemnités en matière pénale du 28 septembre 2010; BLV 312.03.1]), par 11 fr., plus la TVA au taux de 7,7 %, par 43 fr. 20, soit à 605 fr. au total en chiffres arrondis. Les frais de la procédure de recours, constitués en l’espèce de l’émolument d’arrêt (art. 422 al. 1 CPP), par 1’320 fr. (art. 20 al. 1 TFIP) et des frais imputables à la défense d’office de Y.________ (art. 422 al. 1 et 2 let. a CPP), fixés à 605 fr., seront mis par moitié à la charge de Y.________, le solde étant laissé à la charge de l’Etat. Y.________ sera tenu de rembourser la moitié de l'indemnité allouée à son défenseur d'office pour autant que sa situation financière le permette (art. 135 al. 4 let. a CPP). Par ces motifs, la Chambre des recours pénale prononce : I. Le recours est partiellement admis. II. L’ordonnance du 1 er avril 2021 est réformée comme il suit : I. Ordonne le séquestre du véhicule Volkswagen Golf 6, immatriculé VD-[...] au nom de Y.________; II. Dit que les frais suivent le sort de la c ause. III. L'indemnité allouée au défenseur d'office de Y.________ est fixée à 605 fr. (six cent cinq francs). IV. Les frais d’arrêt, par 1'320 fr. (mille trois cent vingt francs), ainsi que l’indemnité due au défenseur d’office, par 605 fr. (six cent cinq francs), sont mis par moitié à la charge de Y.________, le solde étant laissé à la charge de l’Etat. V. Y.________ sera tenu de rembourser la moitié de l’indemnité allouée sous chiffre III ci-dessus pour autant que sa situation financière le permette. VI. L’arrêt est exécutoire. Le président :               Le greffier : Du Le présent arrêt, dont la rédaction a été approuvée à huis clos, est notifié, par l'envoi d'une copie complète, à : - Me Anne Dorthe, avocate (pour Y.________),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