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518 vom 25. Mai 2021</w:t>
      </w:r>
    </w:p>
    <w:p>
      <w:r>
        <w:t>VD Tribunal cantonal, 2021-05-25, FR</w:t>
      </w:r>
    </w:p>
    <w:p>
      <w:r>
        <w:rPr>
          <w:b/>
        </w:rPr>
        <w:t xml:space="preserve">Quelle: </w:t>
      </w:r>
      <w:r>
        <w:t>https://mcp.opencaselaw.ch/entscheid/vd_findinfo_D_cision___2021___518</w:t>
      </w:r>
    </w:p>
    <w:p>
      <w:r>
        <w:t>FR: VD_FINDINFO Décision / 2021 / 518 du 25 mai 2021</w:t>
      </w:r>
    </w:p>
    <w:p>
      <w:r>
        <w:t>IT: VD_FINDINFO Décision / 2021 / 518 del 25 maggio 2021</w:t>
      </w:r>
    </w:p>
    <w:p>
      <w:pPr>
        <w:pStyle w:val="Heading2"/>
      </w:pPr>
      <w:r>
        <w:t>Regeste</w:t>
      </w:r>
    </w:p>
    <w:p>
      <w:r>
        <w:t>DROIT D'ÊTRE ENTENDU, DÉTENTION{INCARCÉRATION}, RELATIONS PERSONNELLES, VISITE, SURVEILLANCE{EN GÉNÉRAL}, PROPORTIONNALITÉ, INTÉRÊT JURIDIQUEMENT PROTÉGÉ | 274a CC, 8 CEDH, 10 Cst., 13 Cst., 29 al. 2 Cst., 36 Cst., 235 CPP (CH), 382 al. 1 CPP (CH), 54 RSDAJ</w:t>
      </w:r>
    </w:p>
    <w:p>
      <w:pPr>
        <w:pStyle w:val="Heading2"/>
      </w:pPr>
      <w:r>
        <w:t>Erwägungen</w:t>
      </w:r>
    </w:p>
    <w:p>
      <w:r>
        <w:rPr>
          <w:b/>
        </w:rPr>
        <w:t>E. 1.1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dans le délai légal contre une ordonnance du Ministère public valant rejet d’une demande d'autorisation de visite d’un tiers auprès d’un détenu. Il a été déposé par le tiers qui a qualité pour recourir dès lors qu’il fait valoir un intérêt juridiquement protégé à l’annulation ou à la modification de la décision (art. 382 al. 1 CPP), et dans les formes prescrites (art. 385 al. 1 CPP), de sorte qu’il est recevable, sous réserve de ce qui sera exposé aux considérants 3 et 5 ci-dessous.</w:t>
      </w:r>
    </w:p>
    <w:p>
      <w:r>
        <w:rPr>
          <w:b/>
        </w:rPr>
        <w:t>E. 2.1</w:t>
      </w:r>
    </w:p>
    <w:p>
      <w:r>
        <w:t>A titre liminaire, il y a lieu de relever que la décision entreprise est peu motivée, celle-ci étant formulée de la manière suivante : « Je vous informe qu’en raison du stade actuel de l’enquête, je refuse la demande d’autorisation de visite de A.Z.________ à T.________ . ».</w:t>
      </w:r>
    </w:p>
    <w:p>
      <w:r>
        <w:rPr>
          <w:b/>
        </w:rPr>
        <w:t>E. 2.2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29 avril 2021/174 ; CREP 19 mai 2020/378 ; CREP 20 août 2013/530).</w:t>
      </w:r>
    </w:p>
    <w:p>
      <w:r>
        <w:rPr>
          <w:b/>
        </w:rPr>
        <w:t>E. 2.3</w:t>
      </w:r>
    </w:p>
    <w:p>
      <w:r>
        <w:t>Dans le cas particulier, toute violation éventuelle du droit d’être entendu de la recourante susceptible d’entacher la motivation de l’ordonnance entreprise a été réparée par les déterminations du Ministère public des 22 avril et 10 mai 2021. En outre, la recourante a pu faire valoir ses moyens devant la Chambre de céans, qui dispose d'un pouvoir d'examen complet en fait et en droit, de sorte qu’il n’y a pas matière à constater une violation de son droit d’être entendu, ce que celle-ci ne requiert au demeurant pas.</w:t>
      </w:r>
    </w:p>
    <w:p>
      <w:r>
        <w:rPr>
          <w:b/>
        </w:rPr>
        <w:t>E. 3.1</w:t>
      </w:r>
    </w:p>
    <w:p>
      <w:r>
        <w:t>La recourante soutient que le refus de visite prononcé par le Ministère public violerait l’art. 235 CPP.</w:t>
      </w:r>
    </w:p>
    <w:p>
      <w:r>
        <w:rPr>
          <w:b/>
        </w:rPr>
        <w:t>E. 3.2.1</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L'art. 235 al. 1 CPP constitue ainsi la base légale permettant de restreindre les droits des prévenus dans la mesure où le but de la détention l'exige (Schmid/Jositsch, Schweizerische Strafprozessordnung, Praxiskommentar, 3 e éd., Zurich/St-Gall 2018, n. 1 ad art. 235 CPP ; TF 1B_17/2015 du 18 mars 2015 consid. 3.1). Il appartient au législateur cantonal de régler les droits et les obligations des prévenus en détention (art. 235 al. 5 CPP ; TF 1B_410/2019 du 4 octobre 2019 consid. 3.1 ; TF 1B_425/2015 du 21 juin 2016 consid. 2.4.1). Dans le canton de Vaud, le RSDAJ (règlement sur le statut des personnes détenues placées en établissement de détention avant jugement ; BLV 430.05.5) est applicable à toutes les personnes majeures détenues avant jugement, dans un établissement de détention avant jugement (art. 2 et 3 RSDAJ). Les relations des détenus avec l'extérieur sont précisées aux art. 53 ss RSDAJ. L'art. 54 RSDAJ, consacré aux visites, prévoit que les personnes détenues avant jugement peuvent recevoir une visite d'une heure par semaine, aux jours et heures fixés par la direction de chaque établissement (al. 2) ; seules les personnes munies d'une autorisation délivrée par l'autorité dont les personnes détenues avant jugement dépendent sont admises à visiter une personne détenue (al. 1). Cette réglementation correspond aux exigences de la jurisprudence (ATF 118 Ia 64). L'usage du téléphone est, quant à lui,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w:t>
      </w:r>
    </w:p>
    <w:p>
      <w:r>
        <w:rPr>
          <w:b/>
        </w:rPr>
        <w:t>E. 3.2.2</w:t>
      </w:r>
    </w:p>
    <w:p>
      <w:r>
        <w:t>Conformément à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141 IV 1 consid. 3.1 ; ATF 138 IV 258 consid. 2.3 ; ATF 129 IV 95 consid. 3.1 ; TF 6B_531/2016 du 5 mai 2017 consid. 3.1). Il ne suffit pas que le recourant soit atteint dans ses droits par effet réflexe (Schmid/Jositsch, Praxiskommentar, op. cit., n. 2 ad art. 382 CPP). En effet, un seul intérêt de fait ne suffit pas à conférer la qualité pour recourir (Calame, in : Jeanneret et al. [éd.], Commentaire romand, Code de procédure pénale suisse, 2 e éd., Bâle 2019 [ci-après : CR CPP], n. 1 ad art. 382 CPP). Le recourant doit ainsi établir que la décision attaquée viole une règle de droit qui a pour but de protéger ses intérêts et qu’il peut par conséquent en déduire un droit subjectif. L’intérêt doit donc être personnel (ATF 131 IV 191 consid. 1.2.1 ; JdT 2015 III 256 ; Calame, in : CR CPP, op. cit., n. 2 ad art. 382 CPP).</w:t>
      </w:r>
    </w:p>
    <w:p>
      <w:r>
        <w:rPr>
          <w:b/>
        </w:rPr>
        <w:t>E. 3.3</w:t>
      </w:r>
    </w:p>
    <w:p>
      <w:r>
        <w:t>En l’occurrence, la disposition invoquée par la recourante protège les droits des prévenus en détention, à défaut des droits des tiers, lesquels ne peuvent être qu’indirectement touchés par une éventuelle violation de l’art. 235 CPP, respectivement de l’art. 54 RSDAJ. Ce grief est donc irrecevable, faute pour la recourante – qui n’est pas la détenue dont les droits sont restreints – de pouvoir se prévaloir de la violation d’une règle de droit qui a pour but de protéger ses propres intérêts et, par conséquent, de pouvoir en déduire un quelconque droit subjectif.</w:t>
      </w:r>
    </w:p>
    <w:p>
      <w:r>
        <w:rPr>
          <w:b/>
        </w:rPr>
        <w:t>E. 4.1</w:t>
      </w:r>
    </w:p>
    <w:p>
      <w:r>
        <w:t>La recourante fait valoir que, compte tenu de l’intensité de la relation qu’elle entretient avec le compagnon de sa mère, avec lequel elle aurait développé un lien identique à une relation père-fille depuis trois ans, la décision entreprise violerait son droit au respect de sa vie privée et familiale garanti par les art. 8 CEDH (Convention du 4 novembre 1950 de sauvegarde des droits de l'homme et des libertés fondamentales ; RS 0.101), ainsi que 10 et 13 Cst.</w:t>
      </w:r>
    </w:p>
    <w:p>
      <w:r>
        <w:rPr>
          <w:b/>
        </w:rPr>
        <w:t>E. 4.2</w:t>
      </w:r>
    </w:p>
    <w:p>
      <w:r>
        <w:t>La garantie de la liberté personnelle (art. 10 al. 1 Cst.) et le droit au respect de la vie privée et familiale (art. 8 CEDH et 13 Cst.) permettent aux personnes détenues d’entretenir des contacts réguliers avec les mem­bres de leur famille dans les limites découlant de la mesure de contrainte qui leur est imposée et du rapport de sujétion spécial qui les lie à l'Etat (TF 1B_17/2015 précité consid. 3.2 ; TF 1B_74/2014 du 7 avril 2014 consid. 3.2 ; TF 1B_382/2013 du 18 décembre 2013 consid. 2.1). Au sens des art. 13 Cst. et 8 CEDH, la vie familiale ne se limite pas à la famille nucléaire ou traditionnelle – des conjoints mariés et leurs enfants – mais s’étend aux proches parents unis par un lien étroit et intense et elle doit être effectivement vécue. Pour les époux, cette exigence n’est pas forcément synonyme de vie commune, qui peut être interrompue sans que la vie familiale ne soit rompue. Pour les autres parents proches, l’exigence d’effectivité de la vie familiale est d’au­tant plus forte que le lien de parenté est lointain. Selon la jurisprudence de la Cour européenne des droits de l’homme, des liens de parenté proche ne sont pas non plus toujours nécessaires pour conclure à une « vie familiale » au sens de l’art. 8 § 1 CEDH. Dans cette approche, l’intensité de la relation factuelle peut donc pallier l’absence de rapport de parenté biologique et/ou juridique (CREP 14 mars 2018/202 consid. 2.2.1 et la référence citée). Des concubins dont la vie commune dure depuis 15 ans peuvent ainsi se prévaloir de la garantie de la vie familiale au sens précité (Dubey, Droits fondamentaux, vol. II, Bâle 2018, n os 1804-1810 et les références citées). L'art. 274a CC (Code civil suisse du 10 décembre 1907 ; RS 210)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(TF 5A_380/2018 du 16 août 2018 consid. 3.1; TF 5A_498/2016 du 31 mai 2017 consid. 4.3 ; TF 5A_831/2008 du 16 février 2009 consid. 3.2). Le cercle des tiers concerné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(TF 5A_831/2008 précité consid. 3.2 in fine ). Au sens du droit civil, l'octroi d'un droit aux relations personnelles à des tiers suppose tout d'abord l'existence de circonstances exceptionnelles qui doivent être rapportées par ceux qui le revendiquent, ce droit constituant une exception (art. 274a al. 1 CC ; TF 5A_755/2020 du 16 mars 2021 consid. 5.1 destiné à publication ; TF 5A_990/2016 du 6 avril 2017 consid. 3.1 ; TF 5A_831/2008 précité consid. 3.2). La mort d'un parent constitue une circonstance exceptionnelle et justifie un droit de visite de membres de la famille du parent décédé, afin de maintenir les relations entre l'enfant et la parenté du défunt, dont les grands-parents font partie (TF 5A_380/2018 précité consid. 3.2 et les références citées). Parmi les autres exemples cités au titre de circonstances exceptionnelles figurent la relation particulièrement étroite que des tiers ont nouée avec l'enfant, comme ses parents nourriciers, ou le vide à combler durant l'absence prolongée de l'un des parents empêché par la maladie, retenu à l'étranger ou incarcéré (TF 5A_990/2016 précité ; TF 5A_100/2009 du 25 mai 2009 consid. 2.3 ; TF 5A_831/2008 précité ; Meier/Stettler, Droit de la filiation, 6 e éd. 2019, pp. 630 s. n° 978 s.). Il en va de même des situations dans lesquelles l'enfant a tissé un lien de parenté dite « sociale » avec d'autres personnes, qui ont assumé des tâches de nature parentale à son égard (TF 5A_755/2020 précité et les références citées).</w:t>
      </w:r>
    </w:p>
    <w:p>
      <w:r>
        <w:rPr>
          <w:b/>
        </w:rPr>
        <w:t>E. 4.3</w:t>
      </w:r>
    </w:p>
    <w:p>
      <w:r>
        <w:t>En l’espèce, la recourante ne rend pas vraisemblable un droit à entretenir des relations personnelles avec le compagnon de sa mère, avec lequel elle n’a aucun lien de parenté ni d’alliance, et qui est donc pour elle un tiers au sens juridique. Dans un tel cas, la jurisprudence du Tribunal fédéral rendue en matière de droit civil et applicable en l’espèce pour circonscrire son droit aux relations personnelles avec le compagnon de sa mère, impose en effet l’existence de circonstances exceptionnelles, comme le décès d'un parent, la relation avec des parents nourriciers, le vide à combler durant l'absence prolongée de l'un des parents empêché par la maladie, retenu à l'étranger ou incarcéré, ou encore des situations dans lesquelles l'enfant a tissé un lien de parenté dite « sociale » avec d'autres personnes, qui ont assumé des tâches de nature parentale à son égard. Or, de telles circonstances ne sont pas rendues vraisemblables en l’espèce, compte tenu de la courte période de vie commune entre la mère de la recourante et le compagnon de celle-ci, du fait qu’il n’était pas son père nourricier et de l’absence de vide à combler dans le contexte défini par la jurisprudence. Par ailleurs, quand bien même la recourante a déclaré à de nombreuses reprises lors de son audition du 18 novembre 2020 qu’elle considérait le prévenu comme son père, il n’est aucunement établi que de telles relations particulièrement intenses aient effectivement été nouées entre elle et T.________, la recourante n’ayant relaté aucun moment particulier passé avec lui, hormis les épisodes relatifs au trafic de drogue, lors desquels il semble qu’elle se soit sentie valorisée auprès de lui. Au surplus, au vu du seul intérêt de l’enfant, qui prédomine en matière de droits aux relations personnelles, il n’est pas possible d’admettre l’existence objective de circonstances exceptionnelles lorsque le tiers a – selon toute vraisemblance – entraîné l’enfant dans un trafic de stupéfiants, voire l’a entraîné à consommer de la cocaïne. Au vu de ce qui précède, le grief de violation des art. 8 CEDH et 13 Cst., mal fondé, doit être rejeté. Quant à la garantie de la liberté personnelle de l’art. 10 Cst., qui se conçoit comme une garantie générale et subsidiaire à laquelle le citoyen peut se référer pour la protection de sa personnalité ou de sa dignité, en l’absence d’un droit fondamental plus spécifique (ATF 123 I 112 consid. 4 ; TF 2C_294/2020 du 15 mars 2021 consid. 6.1 ; TF 2D_7/2013 du 30 mai 2013 consid. 8.1), la recourante ne précise pas – et la Chambre de céans ne distingue pas – en quoi elle serait violée par la décision attaquée.</w:t>
      </w:r>
    </w:p>
    <w:p>
      <w:r>
        <w:rPr>
          <w:b/>
        </w:rPr>
        <w:t>E. 5.1</w:t>
      </w:r>
    </w:p>
    <w:p>
      <w:r>
        <w:t>Invoquant une violation du principe de la proportionnalité garanti par l’art. 36 Cst., la recourante fait au demeurant valoir que la mise en œuvre d’une mesure de surveillance au sens de l’art. 235 al. 2 CPP serait suffisante pour prévenir le risque de collusion retenu, ce d’autant plus que sa mère aurait pour sa part été autorisée à avoir des contacts téléphoniques avec T.________.</w:t>
      </w:r>
    </w:p>
    <w:p>
      <w:r>
        <w:rPr>
          <w:b/>
        </w:rPr>
        <w:t>E. 5.2</w:t>
      </w:r>
    </w:p>
    <w:p>
      <w:r>
        <w:t>Conformément à l’art. 36 Cst., toute restriction d’un droit fondamental doit être fondée sur une base légale, qui doit être de rang législatif en cas de restriction grave (al. 1) ; elle doit en outre être justifiée par un intérêt public ou par la protection d’un droit fondamental d’autrui (al. 2) et être proportionnée au but visé (al. 3). Le principe de proportionnalité commande ainsi que la mesure étatique soit nécessaire et apte à atteindre le but prévu et qu'elle soit raisonnable pour la personne concernée (ATF 140 I 257 consid. 6.3.1 ; ATF 140 II 194 consid. 5.8.2).</w:t>
      </w:r>
    </w:p>
    <w:p>
      <w:r>
        <w:rPr>
          <w:b/>
        </w:rPr>
        <w:t>E. 5.3</w:t>
      </w:r>
    </w:p>
    <w:p>
      <w:r>
        <w:t>En l’espèce, la recourante ne peut pas se prévaloir d’une violation du principe de la proportionnalité garanti par l’art. 36 Cst. dès lors qu’elle n’a pas rendu vraisemblable la restriction d’un droit fondamental qu’elle détiendrait à rendre visite au détenu, au contraire de sa mère qui en est la concubine depuis trois ans. Partant, ce grief est irrecevable, faute pour la recourante de démontrer une quelconque restriction à l’un de ses droits constitutionnels.</w:t>
      </w:r>
    </w:p>
    <w:p>
      <w:r>
        <w:rPr>
          <w:b/>
        </w:rPr>
        <w:t>E. 6</w:t>
      </w:r>
    </w:p>
    <w:p>
      <w:r>
        <w:t>Il résulte de ce qui précède que le recours doit être rejeté dans la mesure de sa recevabilité et l’ordonnance entreprise confirmée. Vu le sort du recours, les frais de la procédure, constitués en l'espèce du seul émolument d’arrêt, par 1’210 fr. (art. 20 al. 1 TFIP [tarif des frais de procédure et indemnités en matière pénale du 28 septembre 2010 ; BLV 312.03.1]), seront mis à la charge de la recourante, qui succombe (art. 428 al. 1 CPP). Pour les mêmes motifs, il n’y a pas lieu de lui allouer une indemnité pour la procédure de recours. Par ces motifs, la Chambre des recours pénale prononce : I. Le recours est rejeté dans la mesure où il est recevable. II. L’ordonnance du 26 mars 2021 est confirmée. III. Les frais d'arrêt, par 1’210 fr. (mille deux cent dix francs), sont mis à la charge de A.Z.________. IV. L’arrêt est exécutoire. Le président :               La greffière : Du Le présent arrêt, dont la rédaction a été approuvée à huis clos, est notifié, par l'envoi d'une copie complète, à : - Me Maxime Rocafort, avocat (pour A.Z.________),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