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512 vom 5. Mai 2021</w:t>
      </w:r>
    </w:p>
    <w:p>
      <w:r>
        <w:t>VD Tribunal cantonal, 2021-05-05, FR</w:t>
      </w:r>
    </w:p>
    <w:p>
      <w:r>
        <w:rPr>
          <w:b/>
        </w:rPr>
        <w:t xml:space="preserve">Quelle: </w:t>
      </w:r>
      <w:r>
        <w:t>https://mcp.opencaselaw.ch/entscheid/vd_findinfo_D_cision___2021___512</w:t>
      </w:r>
    </w:p>
    <w:p>
      <w:r>
        <w:t>FR: VD_FINDINFO Décision / 2021 / 512 du 5 mai 2021</w:t>
      </w:r>
    </w:p>
    <w:p>
      <w:r>
        <w:t>IT: VD_FINDINFO Décision / 2021 / 512 del 5 maggio 2021</w:t>
      </w:r>
    </w:p>
    <w:p>
      <w:pPr>
        <w:pStyle w:val="Heading2"/>
      </w:pPr>
      <w:r>
        <w:t>Regeste</w:t>
      </w:r>
    </w:p>
    <w:p>
      <w:r>
        <w:t>NON-LIEU, ESCROQUERIE, FAUX INTELLECTUEL DANS LES TITRES, FAUX MATÉRIEL DANS LES TITRES | 146 CP, 251 CP, 310 CPP (CH)</w:t>
      </w:r>
    </w:p>
    <w:p>
      <w:pPr>
        <w:pStyle w:val="Heading2"/>
      </w:pPr>
      <w:r>
        <w:t>Erwägungen</w:t>
      </w:r>
    </w:p>
    <w:p>
      <w:r>
        <w:rPr>
          <w:b/>
        </w:rPr>
        <w:t>E. 1.1</w:t>
      </w:r>
    </w:p>
    <w:p>
      <w:r>
        <w:t>Les parties peuvent attaquer une ordonnance de non-entrée en matière rendue par le Ministère public en application de l’art. 310 CPP dans les dix jours devant l’autorité de recours (art. 310 al. 2, 322 al.</w:t>
      </w:r>
    </w:p>
    <w:p>
      <w:r>
        <w:rPr>
          <w:b/>
        </w:rPr>
        <w:t>E. 1.2</w:t>
      </w:r>
    </w:p>
    <w:p>
      <w:r>
        <w:t>En l’espèce, le recours a été déposé en temps utile, auprès de l’autorité compétente et dans les formes prescrites (art. 385 al. 1 CPP), de sorte qu’il est recevable. En revanche, les écritures des 19 mars et 3 mai 2021 sont tardives. Les assertions et pièces qu’elles contiennent sont donc irrecevables.</w:t>
      </w:r>
    </w:p>
    <w:p>
      <w:r>
        <w:rPr>
          <w:b/>
        </w:rPr>
        <w:t>E. 2</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in dubio pro duriore , qui découle du principe de la légalité (art. 5 al. 1 Cst. [Constitution fédérale de la Confédération suisse du 18 avril 1999 ; RS 101] et art. 2 al. 2 CPP ; ATF 138 IV 86 consid. 4.2 ; TF 6B_510/2020 du 15 septembre 2020 consid. 3.2)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3.1</w:t>
      </w:r>
    </w:p>
    <w:p>
      <w:r>
        <w:t>Le recourant invoque une violation de l’art. 319 CPP, faisant valoir que le Ministère public ne pouvait pas rendre une ordonnance de non-entrée en matière après avoir requis et obtenu des renseignements auprès de la Justice de paix du district de Lausanne et du Tribunal de l’arrondissement de Lausanne.</w:t>
      </w:r>
    </w:p>
    <w:p>
      <w:r>
        <w:rPr>
          <w:b/>
        </w:rPr>
        <w:t>E. 3.2</w:t>
      </w:r>
    </w:p>
    <w:p>
      <w:r>
        <w:t>L’entrée en matière peut encore être refusée au terme des investigations policières (art. 306 et 307 CPP) – même diligentées à l'initiative du procureur – si les conditions de l’art. 310 al. 1 let. a CPP sont réunies (TF 6B_427/2017 du 15 novembre 2017 consid. 2.1). En revanche, lorsqu’une instruction est formellement ouverte ou que l’autorité pénale a procédé à des actes d’instruction, il n’est plus possible de rendre une ordonnance de ce type. L’ordonnance de non-entrée en matière doit ainsi être rendue à réception de la dénonciation, de la plainte ou du rapport de police et ceci avant qu’il ne soit procédé à de plus amples actes d’enquête et qu’une instruction soit ouverte (TF 1B_67/2012 du 29 mai 2012 consid. 2.1 et les références), sous réserve de quelques opérations simples de la part du Ministère public au préalable. Selon la jurisprudence, le Ministère public peut notamment, avant de refuser d’entrer en matière, demander des compléments d’enquête à la police, non seulement lorsqu’il s’agit de compléter un précédent rapport au sens de l’art. 307 CPP, mais aussi lorsque la dénonciation elle-même apparaît insuffisante (TF 6B_1096/2018 du 25 janvier 2019 consid. 2.2 ; TF 1B_526/2012 du 24 juin 2013 consid. 2.2 ; TF 1B_67/2012 précité). Il ressort également de l’art. 309 al. 1 let. a CPP que le Ministère public peut procéder à ses propres constatations. Cela comprend le droit de consulter les fichiers, dossiers et renseignements disponibles. Il en va de même lorsque le Ministère public demande à la personne mise en cause une simple prise de position (TF 6B_1096/2018 précité ; TF 6B_1365/2017 du 27 juin 2018 consid. 3.3 et les références ; voir également Moreillon/Parein-Reymond, Petit commentaire du Code de procédure pénale, 2 e éd., Bâle 2016, n. 4 ad art. 310 CPP).</w:t>
      </w:r>
    </w:p>
    <w:p>
      <w:r>
        <w:rPr>
          <w:b/>
        </w:rPr>
        <w:t>E. 3.3</w:t>
      </w:r>
    </w:p>
    <w:p>
      <w:r>
        <w:t>En l’espèce, le Ministère public n’a pas ouvert d’instruction au sens de l’art. 309 CPP et s’est contenté d’obtenir des renseignements auprès de la Justice de paix et du Tribunal d’arrondissement, avant de refuser d’entrer en matière sur la plainte du recourant. Force est de constater que la procédure n'a donc pas dépassé le stade des premières investigations, ce qui permettait au Ministère public de rendre une ordonnance de non-entrée en matière. Le grief doit être écarté.</w:t>
      </w:r>
    </w:p>
    <w:p>
      <w:r>
        <w:rPr>
          <w:b/>
        </w:rPr>
        <w:t>E. 4.1</w:t>
      </w:r>
    </w:p>
    <w:p>
      <w:r>
        <w:t>Invoquant une violation de l’art. 146 CP, le recourant soutient, en substance, que Me H.________ aurait « planifié un guet-apens » pour lui retirer la garde de ses enfants. Il soutient que cette avocate, de concert avec sa cliente, C.Y.________, l’aurait faussement accusé d’être une personne dangereuse et un père maltraitant. Afin d’induire la justice en erreur, elle aurait produit la photographie annexée à son courrier du 18 juin 2020, sans préciser la date ni le lieu où elle avait été prise, en même temps que le rapport de l’Hôpital de l’enfance du 14 janvier 2020 en laissant sournoisement croire que ce cliché était en lien avec ce rapport médical. En outre, le recourant conteste que la condition de l’enrichissement illégitime posée par l’art. 146 CP ne soit pas remplie, en faisant valoir, en bref, que la règlementation du droit de garde et du droit de visite sur les enfants aurait un pendant financier, puisque le dossier de la Justice de paix avait été transféré au Tribunal d’arrondissement saisi d’une action alimentaire.</w:t>
      </w:r>
    </w:p>
    <w:p>
      <w:r>
        <w:rPr>
          <w:b/>
        </w:rPr>
        <w:t>E. 4.2.1</w:t>
      </w:r>
    </w:p>
    <w:p>
      <w:r>
        <w:t>Aux termes de l'art. 146 al. 1 CP, commet une 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Pour qu'il y ait escroquerie, une simple tromperie ne suffit cependant pas ;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143 IV 302 consid. 1.3 ; ATF 142 IV 153 consid. 2.2.2 ; ATF 135 IV 76 consid. 5.2 ).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143 IV 302 consid. 1.4 ; ATF 142 IV 153 consid. 2.2.2 ; ATF 135 IV 76 consid. 5.2).</w:t>
      </w:r>
    </w:p>
    <w:p>
      <w:r>
        <w:rPr>
          <w:b/>
        </w:rPr>
        <w:t>E. 4.2.2</w:t>
      </w:r>
    </w:p>
    <w:p>
      <w:r>
        <w:t>L'escroquerie au procès constitue un cas particulier d'escroquerie. Elle consiste à tromper astucieusement le juge aux fins de le déterminer à rendre une décision – matériellement fausse – préjudiciable au patrimoine de la partie adverse ou d'un tiers (ATF 122 IV 197 consid. 2, JdT 1997 IV 145 ; TF 6B_844/2020 du 24 mars 2021 consid. 3.3.2 ; TF 6B_351/2020 du 25 novembre 2020 consid. 3.3.2). L'escroquerie au procès tombe sous le coup de l'art. 146 CP moyennant la réalisation de l'ensemble des éléments constitutifs objectifs et subjectifs de cette disposition. La typicité se conçoit sans réelle particularité (ATF 122 IV 197 consid. 2d ; TF 6B_844/2020 précité consid. 3.3.2 ; TF 6B_351/2020 précité consid. 3.3.2 ; TF 6B_751/2018 du 2 octobre 2019 consid. 1.4.3). Dans ce contexte également, l'auteur doit agir avec l'intention d'obtenir un avantage indu et cette condition n'est pas réalisée lorsqu'il a, ou croit avoir, droit au paiement du montant qu'il réclame (TF 6B_844/2020 précité consid. 3.3.2 ; TF 6B_351/2020 précité consid. 3.3.2 ; TF 6B_510/2020 précité consid. 3.3 et les références citées). S'agissant des critères développés au sujet de l'élément d'astuce, il convient toutefois de prendre en considération les caractéristiques propres de la procédure en cause (TF 6B_844/2020 précité consid. 3.3.2 et les références citées). Par rapport au principe de coresponsabilité de la dupe, il faut également relever que, dans le cadre d'une escroquerie au procès, ce rôle est censé être endossé, non par n'importe quel individu, mais par un juge. L'activité de ce dernier est de surcroît gouvernée par les règles de procédures applicables, raison pour laquelle il est souvent tributaire des actes procéduraux des parties. Par conséquent, la question de l'éventuelle coresponsabilité de la dupe ne doit pas s'examiner uniquement à l'aune de la diligence du juge. Elle doit, au contraire, s'apprécier en tenant compte du devoir de diligence et des obligations des parties à la procédure concernée (TF 6B_844/2020 précité consid. 3.3.2  et les références citées). Une simple indication fausse, dont la partie adverse peut contrôler l'exactitude sans grande peine, n'est pas à elle seule astucieuse ; le procédé auquel l'auteur a recours doit apparaître comme une machination (ATF 122 IV 197 consid. 3d). Le Tribunal fédéral a rappelé que l'escroquerie était classée dans les infractions contre le patrimoine et non celles visant l'administration de la justice. La personne aux dépens de laquelle est commise l'escroquerie est celle dont les intérêts pécuniaires sont lésés, non l'éventuel dupé (TF 6B_525/2012 du 5 novembre 2012 consid. 3.3).</w:t>
      </w:r>
    </w:p>
    <w:p>
      <w:r>
        <w:rPr>
          <w:b/>
        </w:rPr>
        <w:t>E. 4.3</w:t>
      </w:r>
    </w:p>
    <w:p>
      <w:r>
        <w:t>En l’occurrence, la procureure a retenu que le courrier litigieux n’avait pas eu d'influence sur la situation patrimoniale du recourant, puisque l'objet de la procédure était uniquement de fixer son droit de visite. On ne saurait suivre ce raisonnement. Si le montage dont se plaint le recourant était avéré, ses conséquences pécuniaires seraient bien réelles et suffisamment directes pour être prises en compte, puisque la décision qu’il entendrait influencer aurait également une incidence sur la question des contributions d’entretien notamment. A cet égard, on relèvera que le juge de paix ne s’est pas prononcé uniquement sur le droit de visite de W.________ sur ses enfants mais également sur l’attribution provisoire de la garde de fait sur ces derniers (P. 12/10 pp. 11-12). Cela étant, selon la jurisprudence précitée, l'escroquerie au procès ne peut être retenue que s'il y a eu machination et non pas une simple allégation fausse. Or, tant à la lecture du courrier de Me H.________ du 18 juin 2020, qui ne fait pas formellement de lien entre le rapport médical du 14 janvier 2020 et la photographie annexée, que de l'ordonnance de mesures provisionnelles du 25 juin 2020 (P. 12/10), qui ne s’arrête pas particulièrement sur ces pièces, on ne discerne aucun montage astucieux qui aurait eu pour but d'influencer le juge. Certes, le rapport médical du 14 janvier 2020 et la photographie litigeuse sont annexés dans le même courrier, mais même dans l’hypothèse où l’on pourrait y voir une volonté de manipulation, ce qui n’est pas avéré, il n’y aurait de toute façon pas suffisamment d’éléments pour considérer qu’il y aurait eu escroquerie au procès au sens de la jurisprudence précitée. Le moyen doit être rejeté.</w:t>
      </w:r>
    </w:p>
    <w:p>
      <w:r>
        <w:rPr>
          <w:b/>
        </w:rPr>
        <w:t>E. 5.1</w:t>
      </w:r>
    </w:p>
    <w:p>
      <w:r>
        <w:t>Invoquant en dernier lieu une violation de l’art. 251 CP en lien avec son droit d’être entendu, le recourant soutient que la production au dossier instruit par la Justice de paix du district de Lausanne d’un rapport médical authentique accompagné d'une photographie « confectionnée pour les besoins de la procédure », avec des commentaires liant les deux documents, serait constitutif de faux dans les titres. Cet acte aurait eu un impact non seulement sur la décision qu’a rendue la Justice de paix le 25 juin 2020, mais serait également de nature à influencer le Tribunal d’arrondissement de Lausanne saisi d’une action alimentaire.</w:t>
      </w:r>
    </w:p>
    <w:p>
      <w:r>
        <w:rPr>
          <w:b/>
        </w:rPr>
        <w:t>E. 5.2</w:t>
      </w:r>
    </w:p>
    <w:p>
      <w:r>
        <w:t>Selon l'art. 251 ch. 1 CP,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Sont des titres tous les écrits destinés et propres à prouver un fait ayant une portée juridique et tous les signes destinés à prouver un tel fait (art. 110 al. 4 CP). L'art.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(ATF 146 IV 258 consid. 1.1 ; ATF 144 IV 13 consid. 2.2.2 ; TF 6B_261/2020 et 6B_270/2020 du</w:t>
      </w:r>
    </w:p>
    <w:p>
      <w:r>
        <w:rPr>
          <w:b/>
        </w:rPr>
        <w:t>E. 5.3</w:t>
      </w:r>
    </w:p>
    <w:p>
      <w:r>
        <w:t>En l’espèce, le rapport médical du 14 janvier 2020 ne mentionne pas qu’un document est joint en annexe. De plus, la photographie litigieuse montre l'enfant devant une glace dans une salle de bain. Il apparaît clairement qu’il ne s’agit pas d’une photographie médicale. Enfin, le courrier de Me H.________ du 18 juin 2020 (P. 5/21) ne détaille pas et ne fait pas expressément le lien entre ces deux documents. Partant, les conditions d'application de l'art. 251 CP ne sont pas remplies. Une simple vérification de ces pièces était suffisante pour ne pas y attacher une crédibilité accrue, car même si le certificat médical d'un établissement hospitalier pourrait avoir cette portée, tel ne serait assurément pas le cas d'une photographie annexée dont il ressort manifestement qu'elle n'a pas été prise par un médecin dans le cadre d’une consultation professionnelle. Le moyen doit être rejeté. 6. En définitive, manifestement mal fondé, le recours doit être rejeté sans échange d’écritures (art. 390 al. 2 CPP) et l’ordonnance attaquée confirmée. Les frais de la procédure de recours, constitués en l'espèce du seul émolument d’arrêt, par 1’430 fr. (art. 20 al. 1 TFIP [Tarif des frais de procédure et indemnités en matière pénale du 28 septembre 2010 ; BLV 312.03.1]), seront mis à la charge du recourant, qui succombe (art. 428 al. 1 CPP). Le montant de 550 fr. déjà versé par le recourant à titre de sûretés sera imputé sur ces frais (art. 7 TFIP). Par ces motifs, la Chambre des recours pénale prononce : I. Le recours est rejeté. II. L’ordonnance du 27 novembre 2020 est confirmée. III. Les frais d’arrêt, par 1’430 fr. (mille quatre cent trente francs), sont mis à la charge de W.________. IV. Le montant de 550 fr. (cinq cent cinquante francs) déjà versé par le recourant à titre de sûretés est imputé sur les frais mis à sa charge au chiffre III ci-dessus. V. L’arrêt est exécutoire. Le président :               La greffière : Du Le présent arrêt, dont la rédaction a été approuvée à huis clos, est notifié, par l'envoi d'une copie complète, à : - M. W.________, - Ministère public central, et communiqué à : ‑ Mme la Procureure du Ministère public central, division affaire spéciales,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10</w:t>
      </w:r>
    </w:p>
    <w:p>
      <w:r>
        <w:t>juin 2020 consid. 4.2). Il peut s'agir, par exemple, d'un devoir de vérification qui incombe à l'auteur du document ou de l'existence de dispositions légales qui définissent le contenu du document en question. En revanche, le simple fait que l'expérience montre que certains écrits jouissent d'une crédibilité particulière ne suffit pas, même si dans la pratique des affaires il est admis que l'on se fie à de tels documents (ATF 142 IV 119 consid. 2.1 et les références citées). Le caractère de titre d'un écrit est relatif. Par certains aspects, il peut avoir ce caractère, par d'autres non. La destination et l'aptitude à prouver un fait précis d'un document peuvent résulter directement de la loi, des usages commerciaux ou du sens et de la nature dudit document (ATF 146 IV 258 consid. 1.1 ; ATF 142 IV 119 consid. 2.2 et les références citées ; TF 6B_261/2020 et 6B_270/2020 précités consid.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