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489 vom 3. Juni 2021</w:t>
      </w:r>
    </w:p>
    <w:p>
      <w:r>
        <w:t>VD Tribunal cantonal, 2021-06-03, FR</w:t>
      </w:r>
    </w:p>
    <w:p>
      <w:r>
        <w:rPr>
          <w:b/>
        </w:rPr>
        <w:t xml:space="preserve">Quelle: </w:t>
      </w:r>
      <w:r>
        <w:t>https://mcp.opencaselaw.ch/entscheid/vd_findinfo_D_cision___2021___489</w:t>
      </w:r>
    </w:p>
    <w:p>
      <w:r>
        <w:t>FR: VD_FINDINFO Décision / 2021 / 489 du 3 juin 2021</w:t>
      </w:r>
    </w:p>
    <w:p>
      <w:r>
        <w:t>IT: VD_FINDINFO Décision / 2021 / 489 del 3 giugno 2021</w:t>
      </w:r>
    </w:p>
    <w:p>
      <w:pPr>
        <w:pStyle w:val="Heading2"/>
      </w:pPr>
      <w:r>
        <w:t>Regeste</w:t>
      </w:r>
    </w:p>
    <w:p>
      <w:r>
        <w:t>EXÉCUTION ANTICIPÉE, RISQUE DE COLLUSION | 236 al. 1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recours dirigé contre la décision de la direction de la procédure d’un tribunal de première instance refusant l’exécution anticipée de la peine est néanmoins recevable, dès lors qu’une telle décision touche les droits fondamentaux du prévenu et qu’elle est susceptible de lui causer un préjudice irréparable (cf. CREP 28 février 2014/160 consid. 1 et les références citées).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En l’espèce, interjeté en temps utile auprès de l’autorité compétente par le prévenu qui a qualité pour recourir (art. 382 al. 1 CPP) et dans les formes prescrites (art. 385 al. 1 CPP), le recours est recevable.</w:t>
      </w:r>
    </w:p>
    <w:p>
      <w:r>
        <w:rPr>
          <w:b/>
        </w:rPr>
        <w:t>E. 2</w:t>
      </w:r>
    </w:p>
    <w:p>
      <w:r>
        <w:t>Le recourant soutient qu’il a été entendu pour la dernière fois par le Ministère public le 19 janvier 2021, que cette audition a eu lieu à sa demande, dès lors qu’il souhaitait passer aux aveux, qu’une audition récapitulative ayant pour but de mettre fin à l’instruction a eu lieu le 1 er décembre 2020, l’enquête étant selon lui terminée. Il conteste l’existence d’un risque de collusion à un stade aussi proche de l’audience de jugement, et soutient que le fait qu’il n’ait concédé que des aveux partiels ne s’oppose pas à son placement en exécution anticipée de peine. Il relève encore que le Ministère public n’a pas requis de nouvelle mesure d’instruction dans le délai de l’art. 331 al. 2 CPP, que ses autres comparses ne seront pas entendus aux débats et qu’en définitive, seul X.________ pourrait l’être, mais qu’il se trouve en détention provisoire, de sorte que le risque de collusion entre eux serait inexistant, ou à tout le moins pas suffisamment concret.</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TF 1B_372/2019 du 27 août 2019 consid. 2.1).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le cas échéant, de lui offrir de meilleures chances de resocialisation (ATF 143 IV 160 consid. 2.1; ATF 133 I 270 consid. 3.2.1; ATF 126 I 172 consid. 3a). La poursuite de la détention sous la forme de l'exécution anticipée de la peine présuppose tout d'abord l'existence d'un des motifs de détention provisoire prévus à l'art. 221 al. 1 let. a, b ou c CPP et sa durée doit respecter le principe de la proportionnalité (ATF 143 IV 160 précité;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L'art. 236 al. 1 in fine CPP suppose que le « stade de la procédure »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1B_372/2019 précité; TF 1B_189/2014 du 28 juillet 2014 consid. 2.3 et les références citées).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1B_372/2019 précité; TF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1B_372/2019 précité; TF 1B_186/2018 du 8 mai 2018 consid. 2.1; TF 1B_400/2017 du 18 octobre 2017 consid. 2.1; TF 1B_127/2017 du 20 avril 2017 consid. 2.1).</w:t>
      </w:r>
    </w:p>
    <w:p>
      <w:r>
        <w:rPr>
          <w:b/>
        </w:rPr>
        <w:t>E. 2.2</w:t>
      </w:r>
    </w:p>
    <w:p>
      <w:r>
        <w:t>En l’espèce, le prévenu a été renvoyé devant le tribunal correctionnel pour s’être livré à un important trafic de cocaïne, qui concerne non seulement son coprévenu et oncle X.________, mais également [...], ces quatre derniers étant déférés séparément. Certes, comme l’affirme le recourant, il a demandé à être réentendu par la procureure pour, selon ses propres termes, « dire la vérité ». Il a ainsi admis le 19 janvier 2021 avoir remis 80 grammes à [...] en plus des 700 grammes trouvés en sa possession lors de son interpellation. Il n’a toutefois pas admis les autres faits pour lesquels il est mis en cause, savoir un trafic portant sur une quantité de près du double de celle qu’il a admise, et a dit sa peur de représailles s’il donnait l’identité de son fournisseur. Il a également affirmé qu’il avait demandé à une reprise à son oncle de l’accompagner, ce qu’il regrettait car celui-ci serait en prison pour rien. Ce dernier nie toute implication dans le trafic de cocaïne. Il s’ensuit qu’il est indispensable que les deux coprévenus ne puissent pas communiquer avant l’audience de jugement, où ils pourront être confrontés pour faire la lumière sur la réelle implication de chacun. La demande d’exécution anticipée de peine doit déjà être rejetée pour ce motif. A cela s’ajoute qu’il est également important que le recourant ne puisse pas entrer en contact avant l’audience de jugement avec les quatre autres prévenus, qui le mettent pour certains en cause, ainsi qu’avec d’éventuels tiers impliqués non identifiés, et dont l’identité pourrait être encore découverte lors des débats. Le danger est ainsi concret et sérieux que le prévenu puisse, s’il était mis au bénéfice du régime de l’exécution anticipée de peine, entraver la recherche de la vérité, qui n’est pas encore complète à ce stade. On ne discerne du reste pas de mesures qui pourraient être mises en place pour pallier le risque que le prévenu prenne contact avec son oncle et les autres prévenus, ou des tiers qui pourraient servir de messagers.</w:t>
      </w:r>
    </w:p>
    <w:p>
      <w:r>
        <w:rPr>
          <w:b/>
        </w:rPr>
        <w:t>E. 3</w:t>
      </w:r>
    </w:p>
    <w:p>
      <w:r>
        <w:t>Au vu de ce qui précède, le recours, manifestement mal fondé, doit être rejeté sans échange d’écritures (art. 390 al. 2 CPP) et l’ordonnance du 12 mai 2021 confirmée. L’indemnité allouée au défenseur d’office de U.________ sera fixée sur la base d’une activité nécessaire estimée à 2 heures au tarif horaire de 180 fr., soit à 360 fr., plus 2% de débours forfaitaires (art. 2 al. 1 let. a et 3bis RAJ [Règlement sur l'assistance judiciaire en matière civile du 7 décembre 2010; BLV 211.02.3], applicables par renvoi de l'art. 26b TFIP [Tarif des frais de procédure et indemnités en matière pénale du 28 septembre 2010; BLV 312.03.1]), par 7 fr. 20, plus 28 fr. 30 de TVA, soit à 396 fr. au total en chiffres arrondis. Les frais de la procédure de recours, constitués en l'espèce de l'émolument d'arrêt (art. 422 al. 1 CPP), par 770 fr. (art. 20 al. 1 TFIP), et des frais imputables à la défense d'office (art. 422 al. 1 et 2 let. a CPP), par 396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12 mai 2021 est confirmée. III. L’indemnité allouée au défenseur d’office de U.________ est fixée à 396 fr. (trois cent nonante-six francs). IV. Les frais d’arrêt, par 770 fr. (sept cent septante francs), ainsi que l’indemnité due au défenseur d’office de U.________, par 396 fr. (trois cent nonante-six francs), sont mis à la charge de ce dernier. V. Le remboursement à l’Etat de l’indemnité allouée au chiffre III ci-dessus ne sera exigible que pour autant que la situation financière de U.________ le permette. VI. L’arrêt est exécutoire. Le président :               Le greffier : Du Le présent arrêt, dont la rédaction a été approuvée à huis clos, est notifié, par l'envoi d'une copie complète, à : - Me Annie Schnitzler, avocate (pour U.________), - Ministère public central, et communiqué à : ‑ M. le Président du Tribunal correctionnel de l’arrondissement de Lausanne, - Mme la Procureure cantonale Strada, - Mme la Présidente du Tribunal des mesures de contrainte, - Office d’exécution des peines,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