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431 vom 18. März 2021</w:t>
      </w:r>
    </w:p>
    <w:p>
      <w:r>
        <w:t>VD Tribunal cantonal, 2021-03-18, FR</w:t>
      </w:r>
    </w:p>
    <w:p>
      <w:r>
        <w:rPr>
          <w:b/>
        </w:rPr>
        <w:t xml:space="preserve">Quelle: </w:t>
      </w:r>
      <w:r>
        <w:t>https://mcp.opencaselaw.ch/entscheid/vd_findinfo_D_cision___2021___431</w:t>
      </w:r>
    </w:p>
    <w:p>
      <w:r>
        <w:t>FR: VD_FINDINFO Décision / 2021 / 431 du 18 mars 2021</w:t>
      </w:r>
    </w:p>
    <w:p>
      <w:r>
        <w:t>IT: VD_FINDINFO Décision / 2021 / 431 del 18 marzo 2021</w:t>
      </w:r>
    </w:p>
    <w:p>
      <w:pPr>
        <w:pStyle w:val="Heading2"/>
      </w:pPr>
      <w:r>
        <w:t>Regeste</w:t>
      </w:r>
    </w:p>
    <w:p>
      <w:r>
        <w:t>NON-LIEU, INTÉRÊT JURIDIQUEMENT PROTÉGÉ, LÉSÉ, IN DUBIO PRO DURIORE, ESCROQUERIE, MENACE{DROIT PÉNAL}, CONTRAINTE{DROIT PÉNAL}, CHANTAGE, FAUSSE DÉCLARATION D'UNE PARTIE EN JUSTICE, GESTION DÉLOYALE, SOUSTRACTION D'IMPÔT, USAGE DE FAUX{DROIT PÉNAL} | 146 CP, 156 CP, 158 CP, 180 CP, 181 CP, 251 CP, 306 CP, 115 CPP (CH), 382 al. 1 CPP (CH), 6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est recevable.</w:t>
      </w:r>
    </w:p>
    <w:p>
      <w:r>
        <w:rPr>
          <w:b/>
        </w:rPr>
        <w:t>E. 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nn. 4 et 8 ad art. 6 CPP et les références citées).</w:t>
      </w:r>
    </w:p>
    <w:p>
      <w:r>
        <w:rPr>
          <w:b/>
        </w:rPr>
        <w:t>E. 3</w:t>
      </w:r>
    </w:p>
    <w:p>
      <w:r>
        <w:t>CP), les autorités de poursuite pénale suisses n’étaient pas compétentes. La recourante soutient que les prévenus ont utilisé, respectivement se sont référés à des faux dans les titres dans le cadre de la procédure de divorce suisse, devant les autorités fiscales suisses et devant des banques suisses, ainsi que dans la comptabilité de sociétés suisses, de sorte que l’art. 3 CP ne fait pas obstacle à leur poursuite dans notre pays. On ne saurait suivre cet argument. Sous « faux dans les titres relatifs aux formulaires bancaires de sociétés » (recours, p. 35), la recourante renvoie à son argumentation relative à l’utilisation de faux documents dans la comptabilité de sociétés, développée sous lettre b (recours, p. 37), laquelle se borne à des considérations juridiques sur la comptabilité commerciale mais ne fournit pas d’indications factuelles sur l’usage de faux en Suisse. S’agissant ensuite de l’infraction de faux dans les titres qui aurait été commise devant les autorités fiscales suisses, la recourante se limite encore une fois à renvoyer au chiffre 9 de son recours (« cf. chiffre ci-après ») relatif à sa plainte contre A.G.________ et consorts « pour infraction fiscale qualifiée et blanchiment d’argent », lequel ne comprend pas, là non plus, d’indications de faits sur l’usage de faux en Suisse. Enfin, il est clair que de nombreuses pièces ont été produites par les parties dans la procédure de divorce suisse ; au dossier pénal figurent à ce stade les pièces produites par la plaignante. A défaut toutefois d’indications précises dans le recours, il n’appartient pas à la Cour de céans d’aller rechercher dans les huit classeurs fédéraux de pièces, celles qui pourraient avoir été produites dans la procédure de divorce et qui pourraient constituer des faux. Au vu de ce qui précède, en l’absence d’indices suffisants de faux dans les titres, l’ordonnance attaquée doit également être confirmée sur ce point.</w:t>
      </w:r>
    </w:p>
    <w:p>
      <w:r>
        <w:rPr>
          <w:b/>
        </w:rPr>
        <w:t>E. 3.1</w:t>
      </w:r>
    </w:p>
    <w:p>
      <w:r>
        <w:t>Ad chiffre 1 : plainte pour escroquerie contre A.G.________ et consorts</w:t>
      </w:r>
    </w:p>
    <w:p>
      <w:r>
        <w:rPr>
          <w:b/>
        </w:rPr>
        <w:t>E. 3.1.1</w:t>
      </w:r>
    </w:p>
    <w:p>
      <w:r>
        <w:t>La recourante soutient dans sa plainte que son mari n’aurait jamais eu l’intention d’assurer son train de vie par le transfert des actions et participations susmentionnées dans la convention des 13 et 14 mars 2018. Il aurait déjà à ce moment échafaudé un plan visant à récupérer le patrimoine dont il allait se séparer après avoir fait diminuer la valeur des actions et participations en main de la plaignante. Ce processus, qui comprend notamment de nombreuses opérations que le prévenu aurait effectuées postérieurement à la signature de la convention, est décrit sous chiffre 1 ci-dessus (cf. let. A.b dans la partie « En fait ») auquel il est renvoyé.</w:t>
      </w:r>
    </w:p>
    <w:p>
      <w:r>
        <w:rPr>
          <w:b/>
        </w:rPr>
        <w:t>E. 3.1.2</w:t>
      </w:r>
    </w:p>
    <w:p>
      <w:r>
        <w:t>supra ). Elle consiste à tromper astucieusement le juge par exemple, par le dépôt de pièces falsifiées, dans le but qu’il rende une décision défavorable à la partie adverse et, partant, préjudiciable à ses intérêts pécuniaires (Garbarski/Borsodi in : Macaluso et al. [éd.], Commentaire romand, Code pénal II [ci-après : CR CP], 2017, n. 104 ad art. 146 CP). L’escroquerie au procès tombe sous le coup de l'art. 146 CP moyennant la réalisation de l'ensemble des éléments constitutifs objectifs et subjectifs de cette disposition. La typicité se conçoit sans réelle particularité . Dans ce contexte également, l'auteur doit agir avec l'intention d'obtenir un avantage indu et cette condition n'est pas réalisée lorsqu'il a, ou croit avoir, droit au paiement du montant qu'il réclame. S'agissant des critères développés au sujet de l'élément d'astuce, il convient toutefois de prendre en considération les caractéristiques propres de la procédure en cause.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(TF 6B_351/2020 du 25 novembre 2020 consid. 3.3.2 et les réf. citées).</w:t>
      </w:r>
    </w:p>
    <w:p>
      <w:r>
        <w:rPr>
          <w:b/>
        </w:rPr>
        <w:t>E. 3.1.3.1</w:t>
      </w:r>
    </w:p>
    <w:p>
      <w:r>
        <w:t>En l’espèce, selon la recourante, l’acte de disposition qu’elle aurait accompli est la renonciation, dans la convention, à une rente en échange d’un transfert d’actions dont elle ne remet pas en question la valeur à ce moment-là. Or, si la valeur des actions a baissé, c’est la conséquence des actes subséquents de l’actionnariat majoritaire de la société et non de l’acte de disposition. Pour le surplus, en acceptant un transfert d’actions, l’intéressée pouvait et/ou devait compter avec une éventuelle baisse de la valeur de celles-ci ou avec des opérations menées par les actionnaires majoritaires, les opérations apparemment effectuées par l’assemblée générale de la société en cause (notamment l’augmentation du capital) étant légales. La recourante soutient (p. 11 du recours) que la renonciation à des contributions mensuelles constitue une non-augmentation de ses actifs et un dommage immédiat. Elle a tort. En effet, si par hypothèse la valeur des actions a baissé – hypothèse à laquelle l’intéressée peut ou doit s’attendre en acceptant le transfert d’actions –, c’est ensuite des opérations effectuées par les actionnaires majoritaires de la société postérieurement à la signature de la convention. Or, comme relevé ci-avant, si un comportement subséquent de l’auteur est nécessaire pour provoquer le préjudice, il n’y a pas d’acte de disposition et donc pas d’escroquerie. Dans son recours, V.________ considère que la signature des transferts le 26 avril 2018 constitue un deuxième acte de disposition. On ne voit toutefois pas que le transfert d’actions en sa faveur puisse constituer un acte de disposition au sens de l’art. 146 CP. La recourante plaide encore que son mari avait déjà pris des dispositions pour dévaluer les actions en question avant la signature de la convention des 13 et 14 mars 2018. Elle renvoie aux chiffres 201 et 202 de sa plainte. Il ne s’agit toutefois que de simples allégations sans élément de preuve, dont elle n’est même pas convaincue elle-même (cf. all. 201 « mon mari semble avoir convenu avec… »). Elle se réfère également aux pièces n os 2 et 3 produites en recours, mais malgré ses affirmations, le contenu de ces pièces ne va pas dans son sens. Elle fait aussi référence à l’allégué 69 de sa plainte pour soutenir que la valeur des actions avait déjà diminué au jour de la signature de la convention en raison des contacts préalables de son mari avec sa famille ; il n’y a toutefois aucun indice qui va dans le sens indiqué.</w:t>
      </w:r>
    </w:p>
    <w:p>
      <w:r>
        <w:rPr>
          <w:b/>
        </w:rPr>
        <w:t>E. 3.1.3.2</w:t>
      </w:r>
    </w:p>
    <w:p>
      <w:r>
        <w:t>Le procureur a estimé à juste titre que le lien de causalité entre la tromperie astucieuse dont V.________ se prétend victime, l’induction en erreur, l’acte de disposition et le dommage n’existe pas. En effet, il est exact de retenir que s’il y a un dommage, il n’existe pas en raison de la conclusion de la convention mais des opérations effectuées postérieurement. Pour le surplus, la recourante tente en vain de démontrer qu’elle a été trompée s’agissant de la vente des actions que son mari aurait entreprise pour lui porter préjudice. On relèvera à cet égard que la convention prévoit expressément à ses lettres D.1 et D.2 qu’A.G.________ s’engage à ne pas aliéner les actions et parts avant l’exécution des transferts à V.________. Cela laissait entendre qu’il pouvait le faire après. La recourante en était donc avertie. On ne voit ainsi pas quelle tromperie astucieuse il y aurait eu à ce sujet, sans compter que la prénommée était assistée d’un avocat. En bref, les moyens soulevés par la recourante à l’encontre du raisonnement du procureur ne convainquent pas. C’est donc à bon droit que le Ministère public n’est pas entré en matière sur la plainte de la recourante en tant qu’elle portait sur l’infraction d’escroquerie en relation avec les faits exposés sous chiffre 1 de l’ordonnance attaquée, les indices d’une escroquerie étant insuffisants.</w:t>
      </w:r>
    </w:p>
    <w:p>
      <w:r>
        <w:rPr>
          <w:b/>
        </w:rPr>
        <w:t>E. 3.2</w:t>
      </w:r>
    </w:p>
    <w:p>
      <w:r>
        <w:t>Ad chiffre 2. : plainte contre A.G.________ et consorts pour menaces, contrainte, chantage et tentative d’extorsion</w:t>
      </w:r>
    </w:p>
    <w:p>
      <w:r>
        <w:rPr>
          <w:b/>
        </w:rPr>
        <w:t>E. 3.2.1</w:t>
      </w:r>
    </w:p>
    <w:p>
      <w:r>
        <w:t>La recourante soutient que son mari et son beau-frère auraient effectué diverses opérations financières destinées à l’appauvrir de plusieurs millions de francs dans une stratégie d’étranglement économique. Ces manœuvres l’obligeraient à débourser des sommes importantes pour défendre ses droits dans différents pays et seraient constitutives de pressions financières et psychologiques dans le but de la faire renoncer à défendre ses droits et à la contraindre de céder à E.G.________ ses actions à une faible valeur (cf. let. A.b supra , ch. 2.1 dans la partie « En fait »).</w:t>
      </w:r>
    </w:p>
    <w:p>
      <w:r>
        <w:rPr>
          <w:b/>
        </w:rPr>
        <w:t>E. 3.2.2.1</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de tentative de contrainte (art. 22 al. 1 CP; TF 6B_559/2020 du 23 septembre 2020 consid. 1.1).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Il y a menace d’un dommage sérieux lorsque la perspective de l’inconvénient est de nature à entraver le destinataire dans sa liberté de décision (ATF 122 IV 325 consid. 1a ; ATF 120 IV 19 consid. aa). La perspective de l’inconvénient évoqué doit être propre, pour un destinataire raisonnable, à l’amener à adopter un comportement qu’il n’aurait pas eu s’il avait eu toute sa liberté de décision (ATF 122 IV 325 consid. 1a ; ATF 120 IV 325 consid. 1a ; ATF 120 IV 19 consid. aa). Le bien visé par la menace importe peu, pourvu que l’inconvénient soit assez grave pour entraver la liberté. La menace peut aussi porter sur un préjudice pour une autre personne, notamment un proche. Le caractère sérieux du dommage doit être évalué en fonction de critères objectifs et non pas d’après les réactions du destinataire d’espèce. Pour trancher la question, le juge dispose d’un certain pouvoir d’appréciation. Savoir si le dommage qui fait l’objet de la menace doit être qualifié de sérieux est une question de droit (ATF 107 IV 37 consid. 1 ; Corboz, op. cit., p. 704-705).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ATF 137 IV 326 consid. 3.3.1 p. 328).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ATF 137 IV 326 consid. 3.3.1 p. 328; ATF 120 IV 17 consid. 2a/bb p. 20).</w:t>
      </w:r>
    </w:p>
    <w:p>
      <w:r>
        <w:rPr>
          <w:b/>
        </w:rPr>
        <w:t>E. 3.2.2.2</w:t>
      </w:r>
    </w:p>
    <w:p>
      <w:r>
        <w:t>L'art. 156 ch. 1 CP relatif à l’extorsion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(Dupuis et al., op. cit., n. 1 ad art. 156 CP). La notion de contrainte est la même que celle figurant à l’art. 181 CP (TF 6B_47/2010 du 30 mars 2010 consid. 2.2).</w:t>
      </w:r>
    </w:p>
    <w:p>
      <w:r>
        <w:rPr>
          <w:b/>
        </w:rPr>
        <w:t>E. 3.2.3.1</w:t>
      </w:r>
    </w:p>
    <w:p>
      <w:r>
        <w:t>En l’occurrence, s’agissant de la contrainte (art. 181 CP), le procureur a considéré, concernant les faits exposés sous chiffre 2.1 de son ordonnance, que les éléments constitutifs de cette infraction n’étaient manifestement pas réalisés. D’une part, il a relevé que la plaignante n’expliquait pas en quoi les diverses opérations financières effectuées seraient totalement infondées ni comment elles pourraient l’amener à prendre une décision contraire à ses intérêts ; d’autre part, les parties avaient engagé de part et d’autre et devant les juridictions de nombreux pays d’innombrables procédures, de sorte qu’on ne voyait pas en quoi une procédure supplémentaire pourrait devenir le déclencheur d’un changement de comportement de l’un des protagonistes. Quant à l’extorsion (art. 156 CP), le procureur a également considéré que les éléments constitutifs de cette infraction n’étaient manifestement pas réalisés, pour les mêmes motifs que l’infraction de contrainte. Dans son recours (p. 18-19), V.________ ne soulève aucun moyen à l’endroit de ce qui précède, se limitant à contester l’appréciation du procureur en relation avec les chiffres 2.3 et 2.4 de l’ordonnance attaquée, dont il sera question ci-après. On ajoutera que sa plainte, à cet égard, se borne, sous n os 206 à 209, à des allégations ayant pour preuve « toutes celles qui précèdent », sans que l’on sache lesquelles. Dans ces conditions, l’ordonnance entreprise ne peut qu’être confirmée sur ce point.</w:t>
      </w:r>
    </w:p>
    <w:p>
      <w:r>
        <w:rPr>
          <w:b/>
        </w:rPr>
        <w:t>E. 3.2.3.2</w:t>
      </w:r>
    </w:p>
    <w:p>
      <w:r>
        <w:t>Selon la recourante, E.G.________ l’aurait menacée de déposer des actions civiles et pénales à son encontre en Suisse et ailleurs en raison des procédures qu’elle a été contrainte d’initier pour faire respecter ses droits (cf. let. A.b supra , ch. 2.3 dans la partie « En fait »). Le procureur a considéré que les éléments constitutifs de l’infraction de menaces au sens de l’art. 180 CP – qui suppose réunis une menace grave susceptible de provoquer une alarme ou une frayeur chez la victime et un lien de causalité entre les deux – n’étaient manifestement pas réalisés. D’une part, en raison du manque de gravité des propos tenus par le prévenu, des procédures étant déjà ouvertes en Russie, Slovénie, Hollande et Chypre, ce qui ressort ainsi plus d’un mode de règlements des différends que de menaces, et la plaignante elle-même ayant également ouvert des procédures. D’autre part, en raison de l’absence de frayeur, au vu de la présente plainte déposée, ce qui démontre que la plaignante n’a pas renoncé à continuer à entamer des poursuites contre son mari et la famille de ce dernier. La recourante ne soulève pas de moyens contre la motivation du procureur, mais se borne à donner des exemples de procédures déposées à son encontre. Ainsi, elle se réfère à une requête de conciliation déposée devant la Chambre patrimoniale cantonale le</w:t>
      </w:r>
    </w:p>
    <w:p>
      <w:r>
        <w:rPr>
          <w:b/>
        </w:rPr>
        <w:t>E. 3.2.3.3</w:t>
      </w:r>
    </w:p>
    <w:p>
      <w:r>
        <w:t>Selon V.________, E.G.________ l’aurait également menacée de manière détournée de faire diluer complètement ses actions M.________ si elle ne les lui cédait pas pour un prix de l’ordre de 10 millions de dollars, alors qu’elles vaudraient neuf fois plus (cf. let. A.b supra , ch. 2.4 dans la partie « En fait »). Le procureur a considéré qu’il n’existait aucun indice d’infraction, en particulier de contrainte, faute pour la plaignante d’expliquer les faits qui constituent la menace, élément de la contrainte, surtout si celle-ci est exprimée de manière détournée. Dans son recours, V.________ ne soulève – encore une fois – aucun moyen sur ce point, se bornant à répéter le contenu de l’allégué 218 de sa plainte. Partant, l’ordonnance attaquée doit aussi être confirmée à cet égard.</w:t>
      </w:r>
    </w:p>
    <w:p>
      <w:r>
        <w:rPr>
          <w:b/>
        </w:rPr>
        <w:t>E. 3.3</w:t>
      </w:r>
    </w:p>
    <w:p>
      <w:r>
        <w:t>Ad chiffre 3 : plainte contre A.G.________ et consorts pour escroquerie au procès</w:t>
      </w:r>
    </w:p>
    <w:p>
      <w:r>
        <w:rPr>
          <w:b/>
        </w:rPr>
        <w:t>E. 3.3.1</w:t>
      </w:r>
    </w:p>
    <w:p>
      <w:r>
        <w:t>V.________ soutient, en bref, dans sa plainte, que son mari conteste, en particulier dans la procédure de divorce, l’existence d’un accord préalable à la convention du 13 mars 2018 avec son frère et sa mère à son détriment. Pour ce faire, il essayerait d’induire en erreur les autorités judiciaires en tentant de faire croire faussement, d’une part, qu’il était en litige avec son frère et, d’autre part, qu’un accord avec son frère et sa mère ne serait intervenu qu’après le transfert des actions. A cet effet, le prévenu aurait produit des documents au contenu mensonger, soit un schéma du partage du business entre les deux frères (P. 1207), une lettre du 13 décembre 2017 de la société M.________ à A.G.________ (P. 1055) et une lettre de la société enregistrée au nom d’E.G.________, [...], au Président du Tribunal de l’Est vaudois, non datée (p. 1210).</w:t>
      </w:r>
    </w:p>
    <w:p>
      <w:r>
        <w:rPr>
          <w:b/>
        </w:rPr>
        <w:t>E. 3.3.2</w:t>
      </w:r>
    </w:p>
    <w:p>
      <w:r>
        <w:t>L’escroquerie au procès constitue un cas particulier d'escroquerie, dont la définition a été rappelée ci-avant (cf. consid.</w:t>
      </w:r>
    </w:p>
    <w:p>
      <w:r>
        <w:rPr>
          <w:b/>
        </w:rPr>
        <w:t>E. 3.3.3</w:t>
      </w:r>
    </w:p>
    <w:p>
      <w:r>
        <w:t>En l’espèce, le procureur a considéré que les pièces auxquelles se référait la plaignante devaient être assimilées à des allégations de partie qui étaient contestées, ce qui est le propre d’une procédure civile, ou de pièces qui n’étaient pas arguées de faux. Dans ces conditions, il n’y avait pas de tromperie astucieuse, donc pas d’indices d’infraction d’escroquerie au procès. Dans son recours, V.________ admet d’abord, suivant sur ce point le procureur, que le prévenu a produit bon nombre de documents qui équivalent à de simples allégués. Elle ne soulève pour le surplus aucun moyen à l’encontre du raisonnement du procureur, se bornant à répéter ce qui figure déjà dans sa plainte ou à renvoyer à celle-ci, soit en particulier que l’accord global passé avec son frère n’a jamais été produit, que son mari aurait tenté de tromper le tribunal en faisant croire qu’il aurait été contraint de procéder à la dissolution d’E.________ SA et, enfin, que la signature apposée sur la pièce 1080 serait fausse. Or, aucun de ces éléments, que la recourante se limite à reprendre de sa plainte, ne vient contredire efficacement le raisonnement du procureur. Partant, l’ordonnance attaquée est fondée sur ce point, le procureur n'ayant à juste titre pas retenu l'infraction d'escroquerie au procès.</w:t>
      </w:r>
    </w:p>
    <w:p>
      <w:r>
        <w:rPr>
          <w:b/>
        </w:rPr>
        <w:t>E. 3.4</w:t>
      </w:r>
    </w:p>
    <w:p>
      <w:r>
        <w:t>Ad chiffre 4 : plainte contre A.G.________ pour fausse déclaration d’une partie en justice</w:t>
      </w:r>
    </w:p>
    <w:p>
      <w:r>
        <w:rPr>
          <w:b/>
        </w:rPr>
        <w:t>E. 3.4.1</w:t>
      </w:r>
    </w:p>
    <w:p>
      <w:r>
        <w:t>V.________ a, dans sa plainte, mis en cause les déclarations de son mari aux audiences des 2 octobre 2018 et 4 mars 2019 du Tribunal civil de l’arrondissement de l’Est vaudois.</w:t>
      </w:r>
    </w:p>
    <w:p>
      <w:r>
        <w:rPr>
          <w:b/>
        </w:rPr>
        <w:t>E. 3.4.2</w:t>
      </w:r>
    </w:p>
    <w:p>
      <w:r>
        <w:t>Selon l’art. 306 al. 1 CP, se rend coupable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 fausse déclaration en justice suppose une partie au procès, une fausse déclaration constituant un moyen de preuve, soit une déclaration contraire à la vérité, et une invitation à dire la vérité (art. 306 CP; Corboz, op. cit., vol. II, 3 e éd., 2010, pp. 656 ss).</w:t>
      </w:r>
    </w:p>
    <w:p>
      <w:r>
        <w:rPr>
          <w:b/>
        </w:rPr>
        <w:t>E. 3.4.3</w:t>
      </w:r>
    </w:p>
    <w:p>
      <w:r>
        <w:t>En l’occurrence, le procureur a retenu que dans la mesure où, d’une part, A.G.________ avait été entendu dans le cadre d’un interrogatoire au sens de l’art. 191 CPP et où, d’autre part, il n’avait pas été rendu attentif à l’art. 306 CP et à la peine-menace qui en découle, la fausse déclaration d’une partie pouvait d’emblée être écartée. V.________ déclare, dans son recours, ne pas contester ce point de l’ordonnance. Elle fait toutefois état d’une nouvelle audition du 10 décembre 2020. Or, cette audition est postérieure à l’ordonnance contestée, de sorte que ce grief est irrecevable. C’est également en vain que la recourante – s’agissant de l’appréciation du procureur en relation avec les faits décrits sous chiffre 5 de l’ordonnance sur lesquels celui-ci est entré en matière – fait valoir, en référence à la pièce</w:t>
      </w:r>
    </w:p>
    <w:p>
      <w:r>
        <w:rPr>
          <w:b/>
        </w:rPr>
        <w:t>E. 3.5</w:t>
      </w:r>
    </w:p>
    <w:p>
      <w:r>
        <w:t>Ad chiffre 6 : plainte contre A.G.________ et consorts pour gestion déloyale</w:t>
      </w:r>
    </w:p>
    <w:p>
      <w:r>
        <w:rPr>
          <w:b/>
        </w:rPr>
        <w:t>E. 3.5.1</w:t>
      </w:r>
    </w:p>
    <w:p>
      <w:r>
        <w:t>V.________ soutient que son mari, qui aurait une position de gérant et administrerait de fait E.________ SA en donnant des instructions à son employé P.________, se serait rendu coupable avec ses comparses de gestion déloyale en transférant à [...] SA l’activité et la valeur d’E.________ SA. Les prénommés auraient ainsi violé leur devoir de gestion et auraient atteint gravement les intérêts pécuniers de la société.</w:t>
      </w:r>
    </w:p>
    <w:p>
      <w:r>
        <w:rPr>
          <w:b/>
        </w:rPr>
        <w:t>E. 3.5.2</w:t>
      </w:r>
    </w:p>
    <w:p>
      <w:r>
        <w:t>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 sur le plan subjectif, il faut qu’il ait agi intentionnellement. Le dol éventuel suffit, à la condition qu’il soit strictement caractérisé (Corboz, op. cit., n. 13 ad art. 158 CP). Le devoir de gestion implique un pouvoir sur les biens d’autrui comportant une indépendance suffisante, un droit de disposition autonome, une certaine latitude qui caractérise le devoir de fidélité dont la violation est punissable (ATF 142 IV 346 consid. 3.2; ATF 123 IV 17 consid. 3b). L’infraction de gestion déloyale n’est consommée que s’il y a eu un dommage patrimonial. Ce préjudice doit être en rapport de causalité avec la violation des devoirs (Corboz, op. cit., n. 10 ad art. 158 CP). Il n’est pas nécessaire que le dommage corresponde à l’enrichissement de l’auteur, ni qu’il soit chiffré ; il suffit qu’il soit certain (ATF 123 IV 17 consid. 3d). De plus, il n’y a dommage que dans la mesure où la personne lésée a un droit protégé par le droit civil à la compensation du dommage subi (Dupuis et al., op. cit., n. 25 ad art. 158 CP). Selon la jurisprudence et la doctrine, peut seul être considéré comme lésé celui qui est personnellement et immédiatement touché, c’est-à-dire celui qui est titulaire du bien juridiquement protégé ou du moins coprotégé par la norme pénale qui a été enfreinte (cf. notamment ATF 143 IV 77 consid. 2.2 ; ATF 141 IV 454 consid. 2.3.1 ; ATF 140 IV 155, JdT 2015 IV 107 consid. 3.2 ; Garbarski, Le lésé et la partie plaignante en procédure pénale : état des lieux de la jurisprudence récente, SJ 2017 II pp. 125 ss, spéc. p. 126 ; Perrier Depeursinge, Code de procédure pénale suisse, Commentaire romand, op. cit., nn. 6 et 8 ad art. 115 CPP et les références). Pour être directement touché, le lésé doit subir une atteinte en rapport de causalité directe avec l’infraction poursuivie, ce qui exclut les dommages par ricochet (Garbarski, op. cit., p. 126, et les références en note 7).</w:t>
      </w:r>
    </w:p>
    <w:p>
      <w:r>
        <w:rPr>
          <w:b/>
        </w:rPr>
        <w:t>E. 3.5.3</w:t>
      </w:r>
    </w:p>
    <w:p>
      <w:r>
        <w:t>En l’espèce, le procureur a considéré que V.________ n’était pas lésée directement au sens de l’art. 115 CPP de sorte qu’elle n’avait pas le statut de plaignante mais uniquement de dénonciatrice. Pour le surplus, il a retenu le manque d’indices pour ouvrir une instruction au sens de l’art. 309 CPP. Dans son recours, la plaignante admet le statut de dénonciatrice mais persiste à plaider l’art. 158 CP. Or, le statut de dénonciateur ne confère pas la qualité pour recourir, faute d’intérêt juridiquement protégé au sens de l’art. 382 CPP, sauf s’il peut faire valoir une atteinte directe à ses droits (Moreillon/Parein-Reymond, op. cit., n° 5 ad art. 382 CPP). Tel n’est pas le cas en l’occurrence, la recourante n’étant pas susceptible d’être lésée directement dans ses droits mais seulement indirectement en qualité d’actionnaire. Le recours n’est donc pas recevable sur ce point.</w:t>
      </w:r>
    </w:p>
    <w:p>
      <w:r>
        <w:rPr>
          <w:b/>
        </w:rPr>
        <w:t>E. 3.6</w:t>
      </w:r>
    </w:p>
    <w:p>
      <w:r>
        <w:t>Ad chiffre 7 : plainte contre A.G.________ et consorts pour soustraction fiscale</w:t>
      </w:r>
    </w:p>
    <w:p>
      <w:r>
        <w:rPr>
          <w:b/>
        </w:rPr>
        <w:t>E. 3.6.1</w:t>
      </w:r>
    </w:p>
    <w:p>
      <w:r>
        <w:t>Selon V.________, A.G.________ et S.________ auraient perçu en octobre 2019 un dividende de 12'600'000 fr. d’E.________ SA. Or, la plaignante fait valoir qu’E.________ SA, ainsi que les actionnaires susmentionnés, seraient tenus de déclarer ce dividende. Elle soupçonne toutefois que tel n’a pas été le cas.</w:t>
      </w:r>
    </w:p>
    <w:p>
      <w:r>
        <w:rPr>
          <w:b/>
        </w:rPr>
        <w:t>E. 3.6.2</w:t>
      </w:r>
    </w:p>
    <w:p>
      <w:r>
        <w:t>L’art. 175 al. 1 LIFD (loi fédérale sur l’impôt fédéral direct du 14 décembre 1990 ; RS 642.11) punit d’une amende le contribuable qui, intentionnellement ou par négligence, fait en sorte qu’une taxation ne soit pas effectuée alors qu’elle devrait l’être, ou qu’une taxation entrée en force soit incomplète.</w:t>
      </w:r>
    </w:p>
    <w:p>
      <w:r>
        <w:rPr>
          <w:b/>
        </w:rPr>
        <w:t>E. 3.6.3</w:t>
      </w:r>
    </w:p>
    <w:p>
      <w:r>
        <w:t>En l’espèce, le procureur a considéré qu’une simple soustraction fiscale au sens de l’art. 175 al. 1 LIFD, sans usage de faux documents, ce qui n’est pas prétendu par la plaignante, relevait de la compétence de l’Administration cantonale des impôts (ci-après : l’ACI) au sens de l’art. 249 LI (loi sur les impôts directs cantonaux du 4 juillet 2000 ; BLV 642.11) – qui prévoit que cette dernière est compétente pour réprimer la soustraction d’impôt et la violation d’obligations de procédure – et lui a transmis une copie de son ordonnance pour toute suite utile. Dans son recours, V.________ ne soulève aucun moyen à l’égard du raisonnement du procureur mais renvoie aux chiffres 8 et 9 de son recours pour le surplus. Au demeurant, si l’ACI devait par hypothèse considérer qu’il y avait plus qu’une simple soustraction fiscale, elle ne manquerait pas de saisir les autorités de poursuites pénales. S’agissant en l’état de simples soupçons, comme le relève la plaignante, l’envoi de l’ordonnance à l’ACI est suffisant. Pour le surplus, la recourante n’étant pas lésée directement au sens de l’art. 115 CPP, elle n’a pas le statut de plaignante mais uniquement de dénonciatrice, ce qui, comme relevé ci-avant (cf. consid. 3.5.3 supra ), ne lui confère pas la qualité pour recourir, l’intéressée ne pouvant pas faire valoir une éventuelle atteinte directe à ses droits, s’agissant d’une infraction contre les intérêts de l’Etat. Le recours n’est donc pas recevable sur ce point. La recourante conclut toutefois à ce que la Chambre de céans invite l’ACI à garder le secret sur l’existence de l’ordonnance du 30 novembre 2020, à tout le moins jusqu’à que celle-ci soit définitive, au motif que si les prévenus venaient à apprendre l’existence de la plainte, certaines mesures d’instruction pourraient être vidées de leur sens. Il n’y a pas lieu de donner suite à cette requête. En effet, si le procureur, qui est entré en matière sur certains griefs de la plaignante, n’a pas pris de mesure dans ce sens au moment où il a adressé copie de son ordonnance à l’ACI, c’est qu’il a estimé que cette démarche n’était pas nécessaire. Le présent arrêt confirmant l’ordonnance attaquée, une telle mesure ne se justifie pas plus aujourd’hui.</w:t>
      </w:r>
    </w:p>
    <w:p>
      <w:r>
        <w:rPr>
          <w:b/>
        </w:rPr>
        <w:t>E. 3.7</w:t>
      </w:r>
    </w:p>
    <w:p>
      <w:r>
        <w:t>Ad chiffre 8 : plainte contre A.G.________ et consorts pour faux dans les titres</w:t>
      </w:r>
    </w:p>
    <w:p>
      <w:r>
        <w:rPr>
          <w:b/>
        </w:rPr>
        <w:t>E. 3.7.1</w:t>
      </w:r>
    </w:p>
    <w:p>
      <w:r>
        <w:t>Selon V.________, A.G.________ et E.G.________, à travers leurs hommes de confiance, auraient établi de faux documents (notamment de fausses factures, de faux contrats de prêt, de faux contrats de consulting ou de sous-traitance, ainsi que de faux contrats de service) utilisés comme justificatifs à des transferts bancaires, mais également comme pièces comptables, tout ceci pour dissimuler astucieusement des revenus et de la fortune auprès des autorités fiscales concernées et percevoir des avantages illicites. Selon les indications de la plaignante, les sociétés dont il est question sont des sociétés chypriotes et les contrats de prêts auxquels il est fait référence ont également été produits auprès de banques chypriotes. En outre, R.________ aurait rempli et signé faussement un formulaire d’ouverture de compte à Chypre et de ce fait trompé la banque, ainsi que les autorités judiciaires et administratives, sur l’identité de l’ayant droit économique.</w:t>
      </w:r>
    </w:p>
    <w:p>
      <w:r>
        <w:rPr>
          <w:b/>
        </w:rPr>
        <w:t>E. 3.7.2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et tous les signes destinés à prouver un tel fait (art. 110 al. 4 CP).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(ATF 141 IV 369 consid. 7.4 et l’arrêt cité ; Corboz, op. cit., n. 183 ad art. 251 CP et les arrêts cités).</w:t>
      </w:r>
    </w:p>
    <w:p>
      <w:r>
        <w:rPr>
          <w:b/>
        </w:rPr>
        <w:t>E. 3.7.3</w:t>
      </w:r>
    </w:p>
    <w:p>
      <w:r>
        <w:t>En l’espèce, le procureur a considéré que selon V.________, qui revêt ici la qualité de dénonciatrice, les faits se seraient déroulés à Chypre et qu’en application du principe de la territorialité (art.</w:t>
      </w:r>
    </w:p>
    <w:p>
      <w:r>
        <w:rPr>
          <w:b/>
        </w:rPr>
        <w:t>E. 3.8</w:t>
      </w:r>
    </w:p>
    <w:p>
      <w:r>
        <w:t>Ad chiffre 9 : plainte contre A.G.________ et consorts pour infraction fiscale qualifiée Comme exposé ci-avant en relation avec la plainte pour soustraction fiscale (cf. consid. 3.6 supra ), la recourante n’étant, également dans ce cas, pas lésée directement au sens de l’art. 115 CPP, elle n’a pas le statut de plaignante mais uniquement de dénonciatrice, ce qui, à défaut pour elle de pouvoir faire valoir une atteinte directe à ses droits, s’agissant d’une infraction contre l’Etat, ne lui ne confère pas la qualité pour recourir. Le recours est donc irrecevable sur ce point.</w:t>
      </w:r>
    </w:p>
    <w:p>
      <w:r>
        <w:rPr>
          <w:b/>
        </w:rPr>
        <w:t>E. 4</w:t>
      </w:r>
    </w:p>
    <w:p>
      <w:r>
        <w:t>Il résulte de ce qui précède que le recours, manifestement mal fondé, doit être rejeté dans la mesure où il est recevable, sans échange d'écritures (art. 390 al. 2 CPP), et l'ordonnance entreprise confirmée. Les frais de la procédure de recours, par 2'860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30 novembre 2020 est confirmée. III. Les frais d’arrêt, par 2'860 fr. (deux mille huit cent soixante francs), sont mis à la charge de V.________. IV. L’arrêt est exécutoire. Le président :               Le greffier : Du Le présent arrêt, dont la rédaction a été approuvée à huis clos, est notifié, par l'envoi d'une copie complète, à : - Me Elie Elkaim, avocat (pour V.________), - Ministère public central, et communiqué à : ‑ M. le Procureur du Ministère public central, division criminalité économique, ‑ Administration cantonale des impôts, Division de l’inspection fiscale,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