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430 vom 30. April 2021</w:t>
      </w:r>
    </w:p>
    <w:p>
      <w:r>
        <w:t>VD Tribunal cantonal, 2021-04-30, FR</w:t>
      </w:r>
    </w:p>
    <w:p>
      <w:r>
        <w:rPr>
          <w:b/>
        </w:rPr>
        <w:t xml:space="preserve">Quelle: </w:t>
      </w:r>
      <w:r>
        <w:t>https://mcp.opencaselaw.ch/entscheid/vd_findinfo_D_cision___2021___430</w:t>
      </w:r>
    </w:p>
    <w:p>
      <w:r>
        <w:t>FR: VD_FINDINFO Décision / 2021 / 430 du 30 avril 2021</w:t>
      </w:r>
    </w:p>
    <w:p>
      <w:r>
        <w:t>IT: VD_FINDINFO Décision / 2021 / 430 del 30 aprile 2021</w:t>
      </w:r>
    </w:p>
    <w:p>
      <w:pPr>
        <w:pStyle w:val="Heading2"/>
      </w:pPr>
      <w:r>
        <w:t>Regeste</w:t>
      </w:r>
    </w:p>
    <w:p>
      <w:r>
        <w:t>NON-LIEU, DÉTOURNEMENT D'OBJETS SOUS MAIN DE JUSTICE, SOUSTRACTION D'OBJETS MIS SOUS MAIN DE L'AUTORITÉ | 169 CP, 289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Faute d’accusé de réception par le recourant de l’ordonnance de non-entrée en matière – celle-ci ayant été communiquée par courrier ordinaire –, il y a lieu de considérer que le recours, déposé un peu plus de dix jours après la date de l’ordonnance, l’a été en temps utile (ATF 142 IV 125). Il l’a par ailleurs été dans les formes prescrites (art. 385 al. 1 CPP) – dans la mesure où l’on comprend que le recourant entend obtenir la réforme de l’ordonnance entreprise dans le sens d’une condamnation du prévenu pour n’avoir pas procédé au versement de la saisie de son salaire en sa qualité d’associé gérant et unique employé de sa société – auprès de l’autorité compétente, par la partie plaignante qui a qualité pour recourir (art. 382 al. 1 CPP). Le recours est donc recevable.</w:t>
      </w:r>
    </w:p>
    <w:p>
      <w:r>
        <w:rPr>
          <w:b/>
        </w:rPr>
        <w:t>E. 2.1.1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ATF 138 IV 86 consid. 4.1.2 et les références citées).</w:t>
      </w:r>
    </w:p>
    <w:p>
      <w:r>
        <w:rPr>
          <w:b/>
        </w:rPr>
        <w:t>E. 2.1.2</w:t>
      </w:r>
    </w:p>
    <w:p>
      <w:r>
        <w:t>Selon l'art. 169 CP (Code pénal du 21 décembre 1937; RS 311.0),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 Quant à l'art. 289 CP, il prévoit que celui qui aura soustrait des objets mis sous main de l'autorité sera puni d'une peine privative de liberté de trois ans au plus ou d'une peine pécuniaire. La première des dispositions susmentionnée – plus sévère – prime, en tant que loi spéciale, sur la seconde. L'infraction prévue à l'art. 169 CP présuppose un comportement propre à causer un dommage aux créanciers bénéficiant de la mise sous main de justice, ainsi que l'intention d'agir au détriment de ceux-ci. L’art. 289 CP s’applique, subsidiairement, en l’absence de dessein de nuire aux créanciers (ATF 119 IV 134 consid. 2a; ATF 75 IV 174; TF 1B_238/2018 du</w:t>
      </w:r>
    </w:p>
    <w:p>
      <w:r>
        <w:rPr>
          <w:b/>
        </w:rPr>
        <w:t>E. 2.2</w:t>
      </w:r>
    </w:p>
    <w:p>
      <w:r>
        <w:t>En l’espèce, c’est à tort que le Ministère public expose dans son ordonnance qu’aucun élément ne permet de considérer que le prévenu ne s’acquitterait pas de la retenue sur salaire ordonnée le 4 février 2020 par l’Office des poursuites du district de Nyon. Le recourant a en effet produit avec sa plainte et son recours un courrier de l’Office des poursuites du 3 novembre 2020, dont il ressort que la société D.________, employeur du saisi B.P.________, ne s’était pas acquittée des retenues de salaire à verser en mains de l’office. Or, il ressort des autres pièces produites à l’appui de la plainte, notamment du prononcé rendu par le Tribunal de l’arrondissement de la Côte le 14 août 2020, que le prévenu est l’associé gérant et unique employé de la société. Il s’ensuit que le plaignant a rendu vraisemblable que cette société – respectivement le prévenu lui-même, qui forme une identité avec la société dont il est seul à détenir le contrôle, selon le principe de la transparence (cf. CREP 28 avril 2021/386 consid. 3.2) – a disposé de la part de salaire de B.P.________ saisie et qui devait être versée en mains de l’office. Partant, le Ministère public ne pouvait pas exclure la commission de l’infraction de l’art. 169 CP, voire de celle de l’art. 289 CP.</w:t>
      </w:r>
    </w:p>
    <w:p>
      <w:r>
        <w:rPr>
          <w:b/>
        </w:rPr>
        <w:t>E. 2.3</w:t>
      </w:r>
    </w:p>
    <w:p>
      <w:r>
        <w:t>Il était en revanche justifié de ne pas entrer en matière sur les infractions de vol (étant donné la remise volontaire d’argent au prévenu dans le cadre d’un prêt) et de tentative de contrainte (faute pour la mère du plaignant d’avoir la qualité pour déposer plainte). 3. Au vu de ce qui précède, le recours doit être admis, l’ordonnance entreprise annulée en tant qu’elle vaut refus d’entrer en matière concernant les infractions de détournement de valeurs patrimoniales mises sous main de justice (art. 169 CP) et de soustraction d’objets mis sous main de l’autorité (art. 289 CP) et le dossier la cause sera renvoyé au Ministère public de l’arrondissement de La Côte pour qu’il ouvre une instruction pénale. L’ordonnance sera confirmée pour le surplus. Vu l’issue de la cause, les frais de la procédure de recours, constitués en l'espèce du seul émolument d'arrêt, par 770 fr. (art. 20 al. 1 TFIP [Tarif des frais de procédure et indemnités en matière pénale du 28 septembre 2010; BLV 312.03.1]), seront laissés à la charge de l'Etat (art. 428 al. 4 CPP). Par ces motifs, la Chambre des recours pénale prononce : I. Le recours est admis. II. L’ordonnance de non-entrée en matière du 25 novembre 2020 est annulée en tant qu’elle porte sur les infractions des art. 169 et 289 CP. Elle est confirmée pour le surplus. III. Le dossier de la cause est renvoyé au Ministère public de l’arrondissement de La Côte pour qu’il procède dans le sens des considérants. IV. Les frais d’arrêt, par 770 fr. (sept cent septante francs) sont laissés à la charge de l’Etat. V. L’arrêt est exécutoire. Le président :               Le greffier : Du Le présent arrêt, dont la rédaction a été approuvée à huis clos, est notifié, par l'envoi d'une copie complète, à : - M. A.P.________,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septembre 2018 consid. 2.2 et 2.3 et les références citées). Une action civile en paiement tend à démontrer l'existence d’une créance, respectivement à obtenir la validation d’éventuels séquestres civils demandés afin de garantir les prétentions émises; quant à l'instruction pénale, elle vise à établir si le débiteur a violé une décision de mise sous main de justice; certaines problématiques ne dépendent pas de la procédure civile, en particulier l'existence de valeurs patrimoniales sous main de justice et leur soustraction (TF 1B_238/2018 précité consid. 2.3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