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43 vom 21. Januar 2021</w:t>
      </w:r>
    </w:p>
    <w:p>
      <w:r>
        <w:t>VD Tribunal cantonal, 2021-01-21, FR</w:t>
      </w:r>
    </w:p>
    <w:p>
      <w:r>
        <w:rPr>
          <w:b/>
        </w:rPr>
        <w:t xml:space="preserve">Quelle: </w:t>
      </w:r>
      <w:r>
        <w:t>https://mcp.opencaselaw.ch/entscheid/vd_findinfo_D_cision___2021___43</w:t>
      </w:r>
    </w:p>
    <w:p>
      <w:r>
        <w:t>FR: VD_FINDINFO Décision / 2021 / 43 du 21 janvier 2021</w:t>
      </w:r>
    </w:p>
    <w:p>
      <w:r>
        <w:t>IT: VD_FINDINFO Décision / 2021 / 43 del 21 gennaio 2021</w:t>
      </w:r>
    </w:p>
    <w:p>
      <w:pPr>
        <w:pStyle w:val="Heading2"/>
      </w:pPr>
      <w:r>
        <w:t>Regeste</w:t>
      </w:r>
    </w:p>
    <w:p>
      <w:r>
        <w:t>REFUS DE STATUER, REJET DE LA DEMANDE, ENQUÊTE{EN GÉNÉRAL} | 309 CPP (CH), 5 CPP (CH)</w:t>
      </w:r>
    </w:p>
    <w:p>
      <w:pPr>
        <w:pStyle w:val="Heading2"/>
      </w:pPr>
      <w:r>
        <w:t>Erwägungen</w:t>
      </w:r>
    </w:p>
    <w:p>
      <w:r>
        <w:rPr>
          <w:b/>
        </w:rPr>
        <w:t>E. 1</w:t>
      </w:r>
    </w:p>
    <w:p>
      <w:r>
        <w:t>Aux termes de l’art. 393 CPP, le recours est recevable notamment contre les décisions et les actes de procédure du Ministère public (art. 1 let. a), pour des motifs incluant en particulier la violation du droit, y compris le déni de justice et le retard injustifié (al. 2).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auprès de l’autorité compétente par la partie plaignante qui a qualité pour recourir (art. 382 al. 1 CPP), et satisfaisant aux conditions de forme prescrites (art. 385 al. 1 CPP), le recours est recevable.</w:t>
      </w:r>
    </w:p>
    <w:p>
      <w:r>
        <w:rPr>
          <w:b/>
        </w:rPr>
        <w:t>E. 2</w:t>
      </w:r>
    </w:p>
    <w:p>
      <w:r>
        <w:t>CPP). A ce stade de la procédure, la plainte ayant à tout le moins été enregistrée, le recourant ne dispose donc pas d’un droit à participer à l’administration des preuves avant l’ouverture formelle de l’instruction. Au surplus, les déterminations du procureur dans son courrier du 4 janvier 2021 montrent que le Ministère public n’est pas resté inactif et qu’il entend bien mener une enquête complète sur les faits dénoncés. Au vu de ce qui précède, aucun déni de justice ou retard injustifié ne saurait donc, à ce stade, être reproché au Ministère public. Cela étant, une fois le rapport d’investigation déposé, respectivement après le dépôt d’un éventuel rapport complémentaire, le Ministère public sera tenu de statuer conformément à l’art. 309 CPP, avec indication formelle au procès-verbal des opérations, étant précisé que le recourant conserve la possibilité de relancer le Ministère public à ce sujet pour vérifier que l’enquête policière ne subit pas de retard injustifié.</w:t>
      </w:r>
    </w:p>
    <w:p>
      <w:r>
        <w:rPr>
          <w:b/>
        </w:rPr>
        <w:t>E. 2.1</w:t>
      </w:r>
    </w:p>
    <w:p>
      <w:r>
        <w:t>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6B_290/2020 précité et les références citées ; TF 6B_673/2019 précité consid. 2.2 ; TF 6B_810/2019 du 22 juillet 2019 consid. 2.1). 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(ATF 141 IV 20 consid. 1.1.4 ; TF 6B_290/2020 précité).</w:t>
      </w:r>
    </w:p>
    <w:p>
      <w:r>
        <w:rPr>
          <w:b/>
        </w:rPr>
        <w:t>E. 2.2.1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La surcharge des autorités de poursuite pénale ne saurait justifier que l’instruction d’une procédure éprouve trop de retard ou qu’il ne soit pas statué sur une requête d’une partie (ATF 130 I 312 précité ; CREP 15 octobre 2020/729 consid. 2.2.1 ; CREP 11 juin 2020/444 consid. 2.2). Il y a déni de justice lorsqu’une autorité se refuse à statuer bien qu’elle y soit obligée (ATF 124 V 130 consid. 4 ; TF 6B_34/2009 du 20 avril 2009 consid. 3.4) ou lorsqu’une autorité n’entre pas en matière dans une cause qui lui est soumise dans les formes et délai prescrits, alors qu’elle devrait s’en saisir (ATF 142 II 54 consid. 4.1 ; TF 1B_490/2020 du 9 décembre 2020 consid. 2.1), mais le défaut de réponse du magistrat à une requête ne fonde pas automatiquement le grief de déni de justice (JdT 2012 III 27 et la référence citée).</w:t>
      </w:r>
    </w:p>
    <w:p>
      <w:r>
        <w:rPr>
          <w:b/>
        </w:rPr>
        <w:t>E. 2.2.2</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CPP ; TF 6B_290/2020 du 17 juillet 2020 consid. 2.2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 re et 2 e hypothèses CPP (TF 6B_290/2020 précité ; TF 6B_940/2016 du 6 juillet 2017 consid. 3.3.2 et les références citées). En revanche, le Ministère public ne peut pas rendre une ordonnance de non-entrée en matière après avoir ouvert une instruction au sens de l'art. 309 CPP (TF 6B_290/2020 précité ;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6B_290/2020 précité et les références citées ; TF 6B_810/2019 du 22 juillet 2019 consid. 2.1 ; TF 6B_239/2019 du 24 avril 2019 consid. 2.1). Avant l'ouverture d'une instruction, le droit de participer à l'administration des preuves ne s'applique en principe pas (art. 147 al. 1 CPP a contrario ; ATF 143 IV 397 consid. 3.3.2 in fine ; ATF 140 IV 172 consid. 1.2.2), et ce y compris en cas d'investigations policières diligentées à titre de complément d'enquête requis par le Ministère public en vertu de l'art. 309 al. 2 CPP (TF 6B_290/2020 précité ; TF 6B_1385/2019 du 27 février 2020 consid. 1.1 et la référence citée ; TF 6B_673/2019 du 31 octobre 2019 consid.</w:t>
      </w:r>
    </w:p>
    <w:p>
      <w:r>
        <w:rPr>
          <w:b/>
        </w:rPr>
        <w:t>E. 2.3</w:t>
      </w:r>
    </w:p>
    <w:p>
      <w:r>
        <w:t>Dans ses déterminations, le Ministère public a expliqué avoir transmis, peu après sa réception, la plainte déposée contre inconnu à la police en lui demandant d’identifier les auteurs des faits dénoncés sur la base de la plainte et des documents annexés. Dans la mesure où le plaignant entendait poursuivre à la fois l’auteur de l’accident dont il avait été victime et les médecins de l’hôpital de [...] pour la mauvaise prise en charge dont il se prévalait, le procureur a précisé avoir décidé d’établir dans un premier temps les circonstances de l’accident puis, une fois le rapport de police établi, de reconsidérer s’il y avait lieu de transmettre la plainte à la division des affaires spéciales du Ministère public central, compétente en matière d’erreurs médicales. Le procureur a indiqué que quelques jours après avoir reçu un courriel du 1 er octobre 2020 de la police cantonale lui faisant savoir que, dans la mesure où les parties avaient décidé d’établir un constat à l’amiable s’agissant de l’accident de la circulation, elle n’entrait pas en matière pour établir un rapport d’accident, il avait pris contact avec la police pour lui signaler qu’elle devait procéder à tout le moins aux auditions des parties pour déterminer les circonstances de l’accident, étant précisé qu’il serait donné suite au volet « prise en charge médicale » une fois le rapport de police établissant les responsabilités de l’accident initial reçu. Suite au courrier du recourant du 30 novembre 2020, après avoir constaté une carence au niveau des investigations policières, le procureur a expliqué avoir décidé d’ouvrir formellement une procédure pénale préliminaire afin qu’il puisse instruire la cause en donnant au besoin mandat à la police de procéder à des investigations complémentaires. Ainsi, le Ministère public a considéré que si l’on pouvait certes reprocher un certain cafouillage dans la prise en charge et le suivi de la plainte déposée par le recourant, on ne saurait considérer qu’il s’agirait d’un cas de déni de justice ou d’un retard injustifié au sens de l’art. 393 CPP. En l’espèce, il ne ressort pas du procès-verbal des opérations que le Ministère public aurait formellement ouvert une procédure pénale préliminaire. Quoi qu’il en soit, contrairement à ce que soutient le recourant, l’état d’avancement de la procédure et les opérations effectuées par le Ministère public ne signifient pas que cette autorité n’entend pas entrer en matière sur sa plainte. En effet, force est de constater que celle-ci a été déposée récemment et que le Ministère public en a accusé réception dans son courrier du 23 septembre 2020. Certes, l’hypothèse formulée dans cette lettre-type concerne le cas où aucun auteur ne devait être identifié et n’est manifestement pas adaptée à la situation du recourant. Celui-ci ne subit cependant aucun préjudice quelconque en l’état sous l’angle d’un déni de justice. Au vu de la jurisprudence susmentionnée, le Ministère public est en effet en droit de transmettre la plainte pour investigations à la police cantonale et d’attendre le résultat de cette démarche avant de décider d’ouvrir une enquête, de rendre une ordonnance de non-entrée en matière ou une ordonnance pénale (art. 309 al. 1 et 4 CPP). Le Ministère public peut également demander préalablement un complément d’enquête (art. 309 al.</w:t>
      </w:r>
    </w:p>
    <w:p>
      <w:r>
        <w:rPr>
          <w:b/>
        </w:rPr>
        <w:t>E. 3</w:t>
      </w:r>
    </w:p>
    <w:p>
      <w:r>
        <w:t>En définitive, le recours doit être rejeté sans autre échange d’écritures. Vu l’issue du recours, les frais de la procédure, constitués en l’espèce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 Le recours est rejeté. II. Les frais d’arrêt, par 990 fr. (neuf cent nonante francs), sont mis à la charge de F.________. III. L’arrêt est exécutoire. Le président :               La greffière : Du Le présent arrêt, dont la rédaction a été approuvée à huis clos, est notifié, par l'envoi d'une copie complète, à : - Mes Guillaume Vionnet et Camille Fenter, avocats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