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417 vom 12. Februar 2021</w:t>
      </w:r>
    </w:p>
    <w:p>
      <w:r>
        <w:t>VD Tribunal cantonal, 2021-02-12, FR</w:t>
      </w:r>
    </w:p>
    <w:p>
      <w:r>
        <w:rPr>
          <w:b/>
        </w:rPr>
        <w:t xml:space="preserve">Quelle: </w:t>
      </w:r>
      <w:r>
        <w:t>https://mcp.opencaselaw.ch/entscheid/vd_findinfo_D_cision___2021___417</w:t>
      </w:r>
    </w:p>
    <w:p>
      <w:r>
        <w:t>FR: VD_FINDINFO Décision / 2021 / 417 du 12 février 2021</w:t>
      </w:r>
    </w:p>
    <w:p>
      <w:r>
        <w:t>IT: VD_FINDINFO Décision / 2021 / 417 del 12 febbraio 2021</w:t>
      </w:r>
    </w:p>
    <w:p>
      <w:pPr>
        <w:pStyle w:val="Heading2"/>
      </w:pPr>
      <w:r>
        <w:t>Regeste</w:t>
      </w:r>
    </w:p>
    <w:p>
      <w:r>
        <w:t>ESCROQUERIE, CLASSEMENT DE LA PROCÉDURE, FAUX INTELLECTUEL DANS LES TITRES, FRAIS JUDICIAIRES | 146 al. 1 CP, 251 ch. 1 CP, 319 al. 1 CPP (CH), 426 al. 2 CPP (CH)</w:t>
      </w:r>
    </w:p>
    <w:p>
      <w:pPr>
        <w:pStyle w:val="Heading2"/>
      </w:pPr>
      <w:r>
        <w:t>Erwägungen</w:t>
      </w:r>
    </w:p>
    <w:p>
      <w:r>
        <w:rPr>
          <w:b/>
        </w:rPr>
        <w:t>E. 1</w:t>
      </w:r>
    </w:p>
    <w:p>
      <w:r>
        <w:t>Interjeté en temps utile (art. 322 al. 2 et 396 al. 1 CPP), contre une ordonnance de classement rendue par le Ministère public (art. 393 al. 1 let. a CPP), par le prévenu et les plaignantes qui ont qualité pour recourir (art. 382 al. 1 CPP) et dans les formes prescrites (art. 385 al. 1 CPP), les recours sont recevables.</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1057,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2.3.1, JdT 2017 IV 357 ; ATF 138 IV 86 consid. 4.1.1 ; ATF 138 IV 186 consid. 4.1 ; ATF 137 IV 219 consid. 7). Recours d’Y.________ et de X.________</w:t>
      </w:r>
    </w:p>
    <w:p>
      <w:r>
        <w:rPr>
          <w:b/>
        </w:rPr>
        <w:t>E. 3.1</w:t>
      </w:r>
    </w:p>
    <w:p>
      <w:r>
        <w:t>Les recourantes soutiennent que le Ministère public n’aurait pas tenu compte des déclarations divergentes du prévenu et de son sous-traitant concernant la manière dont le travail a été vérifié, à savoir que le premier a déclaré que F.________ avait examiné cinq à dix caissons de stores par sondage et avait dit que tout était « magnifique », tandis que le second a déclaré qu’une fenêtre test avait été vérifiée par Z.________ et une autre personne, vraisemblablement de la régie, et qu’il avait fait un contrôle systématique de chaque fenêtre après la pose du store et de l’isolation. Les explications du prévenu et du sous-traitant seraient en outre mensongères, puisqu’aucune vérification n’aurait été faite avec F.________, auquel cas le défaut aurait alors été découvert. Les recourantes exposent également que ce ne sont pas seulement 21 caissons qui présentaient un défaut d’isolation, comme retenu par le Ministère public, mais l’intégralité de ceux-ci, soit une soixantaine, comme cela a été constaté par le menuisier A.________ lorsqu’il a réparé les défauts. Elles ajoutent que les auditions d’A.________ et de la concierge [...] pourront confirmer cet état de fait et que c’est la raison pour laquelle elles ont sollicité ce moyen de preuve dans le délai de prochaine clôture. En définitive, les recourantes font valoir que Z.________ et B.________ auraient délibérément et astucieusement porté atteinte à leurs intérêts pécuniaires, en matériaux et en main d’œuvre, en n’effectuant pas entièrement les travaux commandés et en tablant sur le fait qu’il serait renoncé au contrôle systématique de tous les caissons.</w:t>
      </w:r>
    </w:p>
    <w:p>
      <w:r>
        <w:rPr>
          <w:b/>
        </w:rPr>
        <w:t>E. 3.2</w:t>
      </w:r>
    </w:p>
    <w:p>
      <w:r>
        <w:t>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du Code pénal, 2 e éd., Bâle 2017, nn. 11 ss ad art. 146 CP et les références).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2e ; ATF 115 IV 32 consid. 3a ; Corboz, Les infractions en droit suisse, vol. I, 3 e éd., Berne 2010, nn. 31 et 38 ad art. 146 CP ; Dupuis et alii, op. cit., n. 32 ad art. 146 CP).</w:t>
      </w:r>
    </w:p>
    <w:p>
      <w:r>
        <w:rPr>
          <w:b/>
        </w:rPr>
        <w:t>E. 3.3</w:t>
      </w:r>
    </w:p>
    <w:p>
      <w:r>
        <w:t>En l’espèce, on peut prendre acte que le prévenu a mandaté B.________ pour l’isolation des caissons des stores et que ce dernier n’a pas procédé à la pose des panneaux isolants sur toute leur longueur. Cela ne permet toutefois pas d’établir une volonté astucieuse de tromper les plaignantes par un édifice de mensonges, des manœuvres frauduleuses ou encore des fausses informations invérifiables. Tout d’abord, dans la mesure où tout le matériel nécessaire a été commandé par le sous-traitant (cf. ch. 4.3 infra ), rien ne permet de retenir que celui-ci et le prévenu se seraient entendus pour ne pas poser toute l’isolation nécessaire dans les caissons et ainsi porter volontairement préjudice aux intérêts pécuniaires des recourantes. Ensuite, le prévenu et son sous-traitant n’ont fait preuve d'aucune rouerie particulière pour dissuader les recourantes de procéder à des vérifications : comme exposé ci-dessus, B.________ a dit qu’il a équipé en store et en isolation un appartement test, que Z.________ et une personne de la régie ont constaté que c’était en ordre et qu’il a donc continué son travail (PV aud. 2, R. 7) ; pour sa part, Z.________ a dit que lorsque les travaux d’isolation ont été terminés, F.________ a examiné cinq à dix caissons par sondage (PV aud.1, R. 7). Contrairement à ce que les plaignantes plaident, ces déclarations ne sont pas contradictoires puisqu’il y aurait donc eu une vérification test avant les travaux et une vérification après. En outre, elles ne contestent pas le fait que F.________ aurait validé le travail effectué et dit à Z.________ que « c’était tout bon » (PV aud. 1, R. 7, 2 e par.), ce qui corrobore par ailleurs parfaitement la note inscrite le 24 octobre 2012 sur la facture relative à cette isolation selon laquelle les travaux ont été exécutés, que tout est en ordre et que la facture peut être payée (P. 5/8). Dans leur mémoire de recours (point III/5/c, p. 5), les plaignantes affirment que les soixante caissons présentaient un défaut d’isolation – constaté par le menuisier A.________ – et « qu’aucune vérification de la présence d’isolation avec F.________ n’est intervenue, auquel cas le défaut aurait été révélé ». De deux choses l’une : soit le travail a été mal contrôlé par F.________, mais néanmoins validé, soit les recourantes n’ont procédé à aucune vérification comme elles l’indiquent elles-mêmes, ce qui leur est imputable. Quoi qu’il en soit, dans les deux cas, l’élément objectif de l’astuce n’est pas réalisé dès lors que les plaignantes n’ont pas été empêchées de procéder à des vérifications. Vu les éléments qui précèdent, c’est à juste titre que le Ministère public n’a pas retenu l’infraction d’escroquerie.</w:t>
      </w:r>
    </w:p>
    <w:p>
      <w:r>
        <w:rPr>
          <w:b/>
        </w:rPr>
        <w:t>E. 4.1</w:t>
      </w:r>
    </w:p>
    <w:p>
      <w:r>
        <w:t>Les recourantes allèguent que l’attestation établie le 9 mai 2016 par B.________ est mensongère et a été produite dans le cadre du procès civil dans le dessein de tromper l’autorité de jugement.</w:t>
      </w:r>
    </w:p>
    <w:p>
      <w:r>
        <w:rPr>
          <w:b/>
        </w:rPr>
        <w:t>E. 4.2</w:t>
      </w:r>
    </w:p>
    <w:p>
      <w:r>
        <w:t>Selon l'art. 251 ch. 1 CP,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Le faux intellectuel implique un mensonge écrit qualifié. Il ne sera admis que si une valeur probante accrue est accordée à un document et que le destinataire de ce document lui manifeste une confiance particulière (ATF 138 IV 209 consid. 5.3, JdT 2013 IV 179). Il est admis qu'un simple mensonge écrit ne suffit pas à constituer un faux intellectuel.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(TF 6S.93/2004 du 29 avril 2004 ; ATF 126 IV 65 et les références ; ATF 125 IV 17 consid. 2a/aa, JT 2002 IV 75 et les références ; Corboz, Les infractions en droit suisse, vol. II, 3 e éd., Berne 2010, n. 144 ad art. 251 CP). Tel est le cas lorsque certaines assurances objectives garantissent aux tiers la véracité de la déclaration ;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précité ; ATF 125 IV 17 précité).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ATF 138 IV 130 consid. 3.2.4 et les références).</w:t>
      </w:r>
    </w:p>
    <w:p>
      <w:r>
        <w:rPr>
          <w:b/>
        </w:rPr>
        <w:t>E. 4.3</w:t>
      </w:r>
    </w:p>
    <w:p>
      <w:r>
        <w:t>En l’espèce, l’attestation du</w:t>
      </w:r>
    </w:p>
    <w:p>
      <w:r>
        <w:rPr>
          <w:b/>
        </w:rPr>
        <w:t>E. 9</w:t>
      </w:r>
    </w:p>
    <w:p>
      <w:r>
        <w:t>mai 2016 de B.________ indique ce qui suit : « Nous confirmons avoir acheté le matériel et fait les travaux d’isolation dans les niches de stores au chantier, rue [...] à Lausanne. Notre société se porte garante pour l’achat du matériel et les travaux d’isolation dans les niches des stores ». L’appréciation des recourantes selon laquelle cette attestation serait « un document de complaisance puisque l’on sait, à dires d’expert et d’un menuisier, que ce travail n’a pas été fait » (P. 4, point 13, p. 3) est erronée. En effet, le travail a certes été mal fait, mais il a été fait quand même, bien que B.________ devait se douter que son travail était incomplet et que cela aurait des conséquences sur la bienfacture de l’ensemble. En outre, le prévenu a produit les factures et les quittances d’achat du matériel d’isolation (P. 19/1). L’attestation du 9 mai 2016 n’est donc pas contraire à la vérité. Il s’ensuit que l’infraction de faux dans les titres n’est pas non plus réalisée. Recours de Z.________ 5. 5.1 Le recourant soutient que le Ministère public n’a pas motivé sa décision concernant les frais mis à sa charge et le refus de lui allouer une indemnité conformément à l’art. 429 CPP. Il fait valoir que le litige est de nature purement civile, que F.________, professionnel de l’immobilier, a validé la bonne exécution des travaux, et qu’il n’a pas sciemment dissimulé l’existence de défauts ni sciemment facturé des prestations qui n’avaient pas été exécutées correctement ou pas exécutées du tout. 5.2 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Selon la jurisprudence, un comportement immoral ou contraire au principe de la bonne foi au sens de l'art. 2 CC ne peut en principe suffire pour justifier l'intervention des autorités répressives et, partant, entraîner l'imputation des frais au prévenu acquitté (TF 6B_666/2019 du 4 septembre 2019 consid. 2.1 et les références).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 CREP 28 août 2020/578). 5.3 En l’espèce, le Ministère public n’a en effet pas exposé en quoi le comportement fautif du prévenu aurait provoqué l’ouverture de la procédure ou rendu plus difficile la conduite de celle-ci. Comme mentionné plus haut, le prévenu n’a pas astucieusement dissimulé l’existence de défauts et n’a pas produit une attestation qui n’était pas conforme à la vérité. Même s’il est possible que le prévenu ait une responsabilité en lien avec les défauts au regard du droit civil, il n’a violé aucune norme de comportement relevant d’un acte illicite. Par conséquent, les frais de procédure ne pouvaient pas être mis à sa charge et une indemnisation en sa faveur se justifie. Le recourant sollicite le paiement d’une activité correspondant à 10,6 heures de travail au tarif horaire de 320 francs. Dès lors que la cause n’était pas d’une complexité particulière, il sera retenu un tarif horaire de 300 fr. (art. 26a al. 3 TFIP [tarif des frais de procédure et indemnités en matière pénale du 28 septembre 2010 ; BLV 312.03.1]), de sorte que l’indemnité est fixée à 3'180 francs. S’y ajoutent 5 % pour les débours (art. 19 al. 2 TDC [tarif des dépens en matière civile du 23 novembre 2010 ; BLV 270.11.6]) par renvoi de l'art. 26a al. 6 TFIP) et 7,7 % pour la TVA, ce qui correspond à la somme totale de 3'597 francs. 6. Il résulte de ce qui précède que le recours d’Y.________ et X.________ doit être rejeté et le recours de Z.________ admis. L’ordonnance entreprise est modifiée en ce sens que les frais de procédure sont laissés à la charge de l’Etat et que Z.________ a droit à une indemnité de 3'597 fr., à la charge de l’Etat. L’ordonnance est maintenue pour le surplus. Les frais de la procédure de recours sont fixés à 1’540 fr. (art. 20 al. 1 TFIP). Ils seront mis par 8/10 es , soit par 1'232 fr., à la charge des recourantes Y.________ et X.________, qui succombent (art. 428 al. 1 CPP), solidairement entre elles. Le solde est laissé à la charge de l’Etat. Le recourant Z.________, qui a procédé avec l’assistance d’un avocat de choix, a droit à une indemnité pour les dépenses occasionnées par la procédure de recours (art. 429 al. 1 let. a CPP). Cette indemnité sera fixée à 600 fr., sur la base de 2 heures d’activité au tarif horaire d’avocat de 300 fr. (art. 26a al. 3 TFIP), à laquelle s’ajoutent 2 % pour les débours (art. 19 al. 2 TDC par renvoi de l'art. 26a al. 6 TFIP) et 7,7 % pour la TVA, ce qui correspond à la somme totale de 660 fr. en chiffres arrondis. Par ces motifs, la Chambre des recours pénale prononce : I. Le recours d’Y.________ et de X.________ est rejeté. II. Le recours de Z.________ est admis. III. L’ordonnance du 30 septembre 2020 est réformée aux chiffres II et III de son dispositif comme il suit : II. Alloue à Z.________ une indemnité de 3'597 fr. (trois mille cinq cent nonante-sept francs) pour ses frais de défense pénale, à la charge de l’Etat. III. Laisse les frais de procédure à la charge de l’Etat. L’ordonnance est confirmée pour le surplus. IV. Les frais d’arrêt, par 1'540 fr. (mille cinq cent quarante francs), sont mis par huit dixièmes à la charge d’Y.________ et X.________, soit par 1'232 fr. (mille deux cent trente-deux francs), solidairement entre elles, le solde étant laissé à la charge de l’Etat. V. Une indemnité de 660 fr. (six cent soixante francs) est allouée à Z.________ pour ses dépenses obligatoires occasionnées par la procédure de recours, à la charge de l’Etat. VI. L’arrêt est exécutoire. Le président :              La greffière : Du Le présent arrêt, dont la rédaction a été approuvée à huis clos, est notifié, par l'envoi d'une copie complète, à : - Me Dario Barbosa, avocat (pour Z.________), - Me Christian Favre, avocat (pour Y.________ et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