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411 vom 21. Mai 2021</w:t>
      </w:r>
    </w:p>
    <w:p>
      <w:r>
        <w:t>VD Tribunal cantonal, 2021-05-21, FR</w:t>
      </w:r>
    </w:p>
    <w:p>
      <w:r>
        <w:rPr>
          <w:b/>
        </w:rPr>
        <w:t xml:space="preserve">Quelle: </w:t>
      </w:r>
      <w:r>
        <w:t>https://mcp.opencaselaw.ch/entscheid/vd_findinfo_D_cision___2021___411</w:t>
      </w:r>
    </w:p>
    <w:p>
      <w:r>
        <w:t>FR: VD_FINDINFO Décision / 2021 / 411 du 21 mai 2021</w:t>
      </w:r>
    </w:p>
    <w:p>
      <w:r>
        <w:t>IT: VD_FINDINFO Décision / 2021 / 411 del 21 maggio 2021</w:t>
      </w:r>
    </w:p>
    <w:p>
      <w:pPr>
        <w:pStyle w:val="Heading2"/>
      </w:pPr>
      <w:r>
        <w:t>Regeste</w:t>
      </w:r>
    </w:p>
    <w:p>
      <w:r>
        <w:t>TRIBUNAL DES MESURES DE CONTRAINTE, DÉTENTION PROVISOIRE, DÉTENTION ILLICITE, JUGE DU FOND, RISQUE DE FUITE, RISQUE DE COLLUSION, ADMISSION PARTIELLE, ARRESTATION, AUDITION OU INTERROGATOIRE | 158 CPP (CH), 221 al. 1 let. a CPP (CH), 221 al. 1 let. b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2.1</w:t>
      </w:r>
    </w:p>
    <w:p>
      <w:r>
        <w:t>Le recourant soutient que les conditions formelles de la détention provisoire prononcée n’ont pas été respectées, que le Ministère public a « construit une fausse arrestation » pour tenter de réparer son erreur d’avoir oublié de requérir la prolongation de la détention, que les formalités d’une nouvelle arrestation n’ont ainsi pas été satisfaites et que le principe de la proportionnalité commande également sa libération.</w:t>
      </w:r>
    </w:p>
    <w:p>
      <w:r>
        <w:rPr>
          <w:b/>
        </w:rPr>
        <w:t>E. 2.2.1</w:t>
      </w:r>
    </w:p>
    <w:p>
      <w:r>
        <w:t>Selon l’art 158 al. 1 CPP, au début de la première audition, la police ou le Ministère public informent le prévenu dans une langue qu’il comprend qu’une procédure préliminaire est ouverte contre lui et pour quelles infractions (let. a), qu’il peut refuser de déposer et de collaborer (let. b), qu’il a le droit de faire appel à un défenseur ou de demander un défenseur d’office (let. c) et qu’il peut demander l’assistance d’un traducteur ou d’un interprète (let. d). A teneur de l’art. 224 CPP, le ministère public interroge le prévenu sans retard et lui donne l’occasion de s’exprimer sur les soupçons et les motifs de détention retenus contre lui. Il procède immédiatement à l’administration des preuves aisément disponibles susceptibles de confirmer ou d’écarter les soupçons et les motifs de détention (al. 1). Si les soupçons et les motifs de détention sont confirmés, le ministère public propose au tribunal des mesures de contrainte, sans retard mais au plus tard dans les 48 heures à compter de l’arrestation, d’ordonner la détention provisoire ou une mesure de substitution. Le ministère public lui transmet sa demande par écrit, la motive brièvement et y joint les pièces essentielles du dossier (al. 2).</w:t>
      </w:r>
    </w:p>
    <w:p>
      <w:r>
        <w:rPr>
          <w:b/>
        </w:rPr>
        <w:t>E. 2.2.2</w:t>
      </w:r>
    </w:p>
    <w:p>
      <w:r>
        <w:t>Selon la jurisprudence, si l'autorité compétente omet de prolonger la détention ou d'ordonner l'élargissement du prévenu à l'échéance du délai légal prévu, l'incarcération devient illégale. Une décision prise après l'expiration est donc tardive et n'a pas pour effet de prolonger rétroactivement le titre juridique de la détention, devenu caduc, et ne répare pas l'illégalité de cette mesure. La détention reprend cependant un cours conforme au droit si les conditions et les formalités d'une nouvelle arrestation sont satisfaites (TF 1B_386/2011 du 26 août 2011 consid. 7 et les arrêts cités). Lorsqu’une irrégularité constitutive d’une violation d’une garantie conventionnelle ou constitutionnelle a entaché la procédure relative à la détention provisoire, celle-ci peut être réparée par une décision en constatation. Une telle décision intervient notamment lorsque les conditions de détention provisoire illicites sont invoquées devant le juge de la détention. A un tel stade de la procédure, seul un constat peut donc en principe intervenir et celui-ci n'a pas pour conséquence la remise en liberté du prévenu (ATF 139 IV 41 précité consid. 3.4). Il appartient ensuite à l'autorité de jugement d'examiner les possibles conséquences des violations constatées, par exemple par le biais d'une indemnisation fondée sur l'art. 431 CPP ou, le cas échéant, par une réduction de la peine (ATF 141 IV 349 consid. 2.1 ; ATF 140 I 246 consid. 2.5.1 ; ATF 140 I 125 consid. 2.1 ; ATF 139 IV 41 précité). Par contre, lorsque l’autorité de jugement a statué définitivement par un jugement entré en force, la jurisprudence a posé qu’il n’y avait pas lieu de considérer que le droit fédéral imposerait à une autorité pénale de statuer sur la question du droit à l'indemnisation des conditions de détention illicites avant jugement, la seule voie de droit ouverte à ce stade de la procédure étant celle de l’action fondée sur la loi vaudoise sur la responsabilité de l’Etat, des communes et de leurs agents du 16 mai 1961 (LRECA ; BLV 170.11 ; TF 6B_1097/2016 du 13 septembre 2017 consid. 3.4, JdT 2017 III 178 ; TF 6B_1136/2015 du 18 juillet 2016 consid. 4.4.3 ; TF 6B_1071/2015 et 6B_1008/2015 du 18 juillet 2016 consid. 4.2.2 ; CREP 11 mars 2021/195 consid. 2.2 ; CREP 1 er décembre 2020/954 consid. 2.2 ; CAPE 11 août 2020/335 consid. 2.3).</w:t>
      </w:r>
    </w:p>
    <w:p>
      <w:r>
        <w:rPr>
          <w:b/>
        </w:rPr>
        <w:t>E. 2.3</w:t>
      </w:r>
    </w:p>
    <w:p>
      <w:r>
        <w:t>En l’espèce, le Tribunal des mesures de contrainte a retenu que le recourant avait été détenu illicitement du 9 avril (dernière prolongation échue le 8 avril 2021) au 14 avril 2021 (date de l’audition d’arrestation). Dans ses déterminations du 30 avril 2021, le procureur a admis que le recourant avait été détenu sans titre de détention entre le 9 et le 13 avril 2021, soit pendant 5 jours. La mise en détention du procureur mentionne comme date d’appréhension le « 14 avril 2021 à 0h00 » et comme date d’audition d’arrestation le « 14 avril 2021 à 15h20 ». Le procureur admet qu’il n’y a pas eu d’appréhension à proprement parler puisque le recourant était déjà détenu. La date indiquée correspond selon lui à la date à laquelle le recourant est repassé sous son autorité. Compte tenu de ces circonstances, il y a lieu de considérer que la nouvelle détention provisoire a débuté le 14 avril à 15h20 car c’est à ce moment que le recourant a été informé qu’il faisait l’objet d’une nouvelle procédure de détention provisoire. Partant, il y a lieu de considérer que le recourant a été détenu sans titre pendant 6 jours et non 5. Pour le reste, les formalités de l’art. 224 CPP ont été accomplies (cf. PV audition d’arrestation du 14 avril 2021 et demande motivée du Ministère public adressée au Tribunal des mesures de contrainte). En particulier, le recourant était assisté lors l’audition d’arrestation et il a renoncé à être entendu par le Tribunal des mesures de contrainte, qui a ensuite ordonné sa mise en détention. Contrairement à ce que prétend le recourant, les règles de procédure ont été respectées. Au vu de ce qui précède, il sera constaté que la détention illicite a duré 6 jours, étant précisé que seul le juge du fond est compétent s’agissant de l’octroi d’une éventuelle indemnité de ce chef.</w:t>
      </w:r>
    </w:p>
    <w:p>
      <w:r>
        <w:rPr>
          <w:b/>
        </w:rPr>
        <w:t>E. 3.1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 e éd., Bâle 2019, nn. 4 ss ad art. 221 CPP).</w:t>
      </w:r>
    </w:p>
    <w:p>
      <w:r>
        <w:rPr>
          <w:b/>
        </w:rPr>
        <w:t>E. 4.1</w:t>
      </w:r>
    </w:p>
    <w:p>
      <w:r>
        <w:t>En l’occurrence, le recourant ne conteste pas l’existence de soupçons suffisants à son encontre. Il conteste en revanche le risque de collusion.</w:t>
      </w:r>
    </w:p>
    <w:p>
      <w:r>
        <w:rPr>
          <w:b/>
        </w:rPr>
        <w:t>E. 4.2</w:t>
      </w:r>
    </w:p>
    <w:p>
      <w:r>
        <w:t>Le placement en détention provisoire peut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Entrent aussi en considération la nature et l’importance des déclarations, respectivement des moyens de preuves susceptibles d’être menacés, la gravité des infractions en cause et le stade de la procédure (ATF 137 IV 122 précité consid. 4.2 ; ATF 132 I 21 consid. 3.2 et les références citées ; TF 1B_577/2020 du 2 décembre 2020 consid. 3.1). Plus l'instruction se trouve à un stade avancé et les faits sont établis avec précision, plus les exigences relatives à la preuve de l'existence d'un risque de collusion sont élevées (ATF 137 IV 122 précité ; ATF 132 I 21 précité).</w:t>
      </w:r>
    </w:p>
    <w:p>
      <w:r>
        <w:rPr>
          <w:b/>
        </w:rPr>
        <w:t>E. 4.3</w:t>
      </w:r>
    </w:p>
    <w:p>
      <w:r>
        <w:t>En l’espèce, contrairement à ce que le recourant affirme, ce n’est pas parce qu’il a été appréhendé la première fois en été 2020, que le risque de collusion ne peut plus être retenu. Il est important de souligner que la présente cause concerne un trafic de stupéfiants de grande ampleur qui nécessite de nombreuses investigations et contrôles. A ce propos, le procureur a exposé que plusieurs mesures d’instruction étaient actuellement en cours, notamment l’indentification du fournisseur du prévenu, afin de déterminer l’ampleur de son activité délictueuse, si bien qu’il convenait d’éviter que C.________ puisse contacter celui-ci ou ses clients afin d’accorder leurs versions. Partant, c’est à juste titre que le Tribunal des mesures de contrainte a retenu l’existence d’un risque de collusion justifiant la mise en détention provisoire du recourant.</w:t>
      </w:r>
    </w:p>
    <w:p>
      <w:r>
        <w:rPr>
          <w:b/>
        </w:rPr>
        <w:t>E. 5.1</w:t>
      </w:r>
    </w:p>
    <w:p>
      <w:r>
        <w:t>Le recourant conteste également l’existence du risque de fuite. Il soutient que toute sa famille vit à Neuchâtel et qu’il n’a aucun revenu qui lui permettrait de quitter le pays, le Ministère public ayant également séquestré la totalité de ses avoirs.</w:t>
      </w:r>
    </w:p>
    <w:p>
      <w:r>
        <w:rPr>
          <w:b/>
        </w:rPr>
        <w:t>E. 5.2</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143 IV 160 consid. 4.3, JdT 2018 IV 3 ; TF 1B_124/2021 du 12 avril 2021 consid. 5 ; TF 1B_549/2020 du 9 novembre 2020 consid. 3.1). Le risque de fuite s'étend également au risque de se soustraire à la procédure pénale ou à la sanction prévisible en tombant dans la clandestinité à l'intérieur du pays (ATF 143 IV 160 précité ; TF 1B_549/2020 précité).</w:t>
      </w:r>
    </w:p>
    <w:p>
      <w:r>
        <w:rPr>
          <w:b/>
        </w:rPr>
        <w:t>E. 5.3</w:t>
      </w:r>
    </w:p>
    <w:p>
      <w:r>
        <w:t>En l’espèce, comme l’a exposé le procureur, le prévenu est certes originaire de Corcelles-près-Concise, mais il ressort des déclarations de sa compagne qu’ils entendaient quitter la Suisse pour effectuer un tour du monde ; en outre, lors de son audition du 18 novembre 2020, il avait déclaré qu’il entendait quitter de manière quasi définitive la Suisse pour se rendre en Asie du Sud-Est. Vu la gravité des faits qui lui sont reprochés, le risque que l’intéressé se soustraie aux poursuites pénales engagées contre lui en fuyant dans la clandestinité ou en quittant la Suisse demeure actuel. Dans ces conditions, c’est à juste titre que le Tribunal des mesures de contrainte a retenu un risque de fuite.</w:t>
      </w:r>
    </w:p>
    <w:p>
      <w:r>
        <w:rPr>
          <w:b/>
        </w:rPr>
        <w:t>E. 6</w:t>
      </w:r>
    </w:p>
    <w:p>
      <w:r>
        <w:t>La réalisation de l’une des conditions de l’art. 221 al. 1 let. a à c CPP étant suffisante pour justifier la détention provisoire (TF 1B_249/2011 du 7 juin 2011 consid. 2.4), l’existence des risques de collusion et de fuite dispense la Chambre de céans d’examiner si celle-ci s’impose également en raison d’un risque de réitération.</w:t>
      </w:r>
    </w:p>
    <w:p>
      <w:r>
        <w:rPr>
          <w:b/>
        </w:rPr>
        <w:t>E. 7</w:t>
      </w:r>
    </w:p>
    <w:p>
      <w:r>
        <w:t>Au surplus, aucune mesure ne permet de prévenir valablement les risques de collusion et de fuite retenus. En outre, la durée de la détention de trois mois paraît aussi conforme au principe de proportionnalité au regard des mesures d’instruction envisagées par le procureur, notamment la mise en œuvre d’une expertise, et à la peine encourue par le recourant pour les infractions dont il est prévenu.</w:t>
      </w:r>
    </w:p>
    <w:p>
      <w:r>
        <w:rPr>
          <w:b/>
        </w:rPr>
        <w:t>E. 8</w:t>
      </w:r>
    </w:p>
    <w:p>
      <w:r>
        <w:t>En définitive, le recours doit être partiellement admis et le dispositif de l’ordonnance entreprise modifié par l’ajout d’un chiffre II bis stipulant qu’il est constaté que le recourant a été détenu illicitement du</w:t>
      </w:r>
    </w:p>
    <w:p>
      <w:r>
        <w:rPr>
          <w:b/>
        </w:rPr>
        <w:t>E. 9</w:t>
      </w:r>
    </w:p>
    <w:p>
      <w:r>
        <w:t>au 14 avril 2021, soit pendant 6 jours. L’ordonnance sera confirmée pour le surplus. Au vu de la nature de la cause, l’indemnité allouée au défenseur d’office de C.________ sera fixée à 540 fr., correspondant à une activité nécessaire d’avocat de 3 heures au tarif horaire de 180 fr., montant auquel il convient d’ajouter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par 10 fr. 80, plus la TVA au taux de 7,7 %, par 42 fr. 40, soit 594 fr. au total en chiffres arrondis. Vu le sort du recours, les frais de la procédure, par 2’024 fr., constitués en l’espèce de l’émolument d'arrêt, par 1’430 fr. (art. 20 al. 1 TFIP [tarif des frais de procédure et indemnités en matière pénale du 28 septembre 2010; BLV 312.03.1]), et des frais imputables à la défense d’office (art. 422 al. 1 et 2 let. a CPP), fixés à 594 fr., seront mis par trois quarts, soit par 1’518 fr., à la charge du recourant qui succombe dans une large mesure, le solde étant laissé à la charge de l’Etat (art. 428 al. 1 CPP). Le remboursement à l’Etat de la part de l’indemnité allouée au défenseur d’office et mise à la charge du recourant (trois quarts de 594 fr., soit 445 fr. 50) ne sera toutefois exigible que pour autant que la situation financière de ce dernier le permette (art. 135 al. 4 let. a CPP). Par ces motifs, la Chambre des recours pénale prononce : I. Le recours est partiellement admis. II. L’ordonnance du 16 avril 2021 est réformée par l’ajout à son dispositif du chiffre II bis suivant : «  II bis. constate que C.________ a été détenu illicitement du 9 au</w:t>
      </w:r>
    </w:p>
    <w:p>
      <w:r>
        <w:rPr>
          <w:b/>
        </w:rPr>
        <w:t>E. 14</w:t>
      </w:r>
    </w:p>
    <w:p>
      <w:r>
        <w:t>avril 2021, soit pendant 6 (six) jours. » L’ordonnance est confirmée pour le surplus. III. L'indemnité allouée au défenseur d'office de C.________ est fixée à 594 fr. (cinq cent nonante-quatre francs), TVA et débours compris. IV. Les frais d'arrêt, par 1’430 fr. (mille quatre cent trente francs), ainsi que l'indemnité allouée au défenseur d'office du recourant, par 594 fr. (cinq cent nonante-quatre francs), sont mis par trois quarts, soit par 1’518 fr. (mille cinq cent dix-huit francs), à la charge de C.________, le solde étant laissé à la charge de l’Etat. V. Le remboursement à l'Etat de la part mise à la charge de C.________, à concurrence de 445 fr. 50, de l’indemnité allouée à son défenseur ne sera exigible que pour autant que sa situation financière le permette. VI. L’arrêt est exécutoire. Le président :               La greffière : Du Le présent arrêt, dont la rédaction a été approuvée à huis clos, est notifié, par l'envoi d'une copie complète, à : - Me David Erard, avocat (pour C.________), - Ministère public central, et communiqué à : ‑ Mme la Présidente du Tribunal des mesures de contrainte,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