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407 vom 6. April 2021</w:t>
      </w:r>
    </w:p>
    <w:p>
      <w:r>
        <w:t>VD Tribunal cantonal, 2021-04-06, FR</w:t>
      </w:r>
    </w:p>
    <w:p>
      <w:r>
        <w:rPr>
          <w:b/>
        </w:rPr>
        <w:t xml:space="preserve">Quelle: </w:t>
      </w:r>
      <w:r>
        <w:t>https://mcp.opencaselaw.ch/entscheid/vd_findinfo_D_cision___2021___407</w:t>
      </w:r>
    </w:p>
    <w:p>
      <w:r>
        <w:t>FR: VD_FINDINFO Décision / 2021 / 407 du 6 avril 2021</w:t>
      </w:r>
    </w:p>
    <w:p>
      <w:r>
        <w:t>IT: VD_FINDINFO Décision / 2021 / 407 del 6 aprile 2021</w:t>
      </w:r>
    </w:p>
    <w:p>
      <w:pPr>
        <w:pStyle w:val="Heading2"/>
      </w:pPr>
      <w:r>
        <w:t>Regeste</w:t>
      </w:r>
    </w:p>
    <w:p>
      <w:r>
        <w:t>DÉFENSE D'OFFICE | 29 al. 3 Cst., 132 CPP (CH)</w:t>
      </w:r>
    </w:p>
    <w:p>
      <w:pPr>
        <w:pStyle w:val="Heading2"/>
      </w:pPr>
      <w:r>
        <w:t>Erwägungen</w:t>
      </w:r>
    </w:p>
    <w:p>
      <w:r>
        <w:rPr>
          <w:b/>
        </w:rPr>
        <w:t>E. 1</w:t>
      </w:r>
    </w:p>
    <w:p>
      <w:r>
        <w:t>Interjeté dans le délai légal (art. 396 al. 1 CPP [Code de procédure pénale suisse du 5 octobre 2007 ; RS 312.0]) contre une ordonnance du ministère public refusant au prévenu la désignation d'un défenseur d'office (art. 393 al. 1 let. a CPP), par une partie qui a qualité pour recourir (art. 382 al. 1 CPP) et dans les formes prescrites (art. 385 al. 1 CPP), le recours de J.________ est recevable (Moreillon/Parein-Reymond, Code de procédure pénale, Petit commentaire, 2 e éd., Bâle 2016, n. 18 ad art. 132 CPP).</w:t>
      </w:r>
    </w:p>
    <w:p>
      <w:r>
        <w:rPr>
          <w:b/>
        </w:rPr>
        <w:t>E. 2.1</w:t>
      </w:r>
    </w:p>
    <w:p>
      <w:r>
        <w:t>J.________ (ci-après : la recourante) soutient que les trois conditions cumulatives pour qu’un défenseur d’office lui soit désigné – à savoir l’indigence, une affaire qui n’est pas de peu de gravité et les difficultés présentées par la cause –, seraient réalisées.</w:t>
      </w:r>
    </w:p>
    <w:p>
      <w:r>
        <w:rPr>
          <w:b/>
        </w:rPr>
        <w:t>E. 2.2</w:t>
      </w:r>
    </w:p>
    <w:p>
      <w:r>
        <w:t>En vertu de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4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est en détention (TF 1B_93/2018 du 29 mai 2018 consid. 3.1 et les arrêts cités), s'il encourt une révocation de l'autorisation d'exercer sa profession ou s'il risque de perdre la garde de ses enfants (TF 1B_12/2020 du 24 janvier 2020 consid. 3.1 ; TF 1B_374/2018 du 4 septembre 2018 consid. 2.1). Les critères énoncés par l'art. 132 al. 1 let. b, 2 et 3 CPP reprennent largement la jurisprudence du Tribunal fédéral en matière d'assistance judiciaire, rendue sur la base des art. 29 al. 3 Cst. et 6 ch. 3 let. c CEDH (Convention de sauvegarde des droits de l’homme et des libertés fondamentales du 4 novembre 1950 ; RS 0.101) (ATF 143 I 164 consid. 3.5 ; TF 1B_477/2011 du</w:t>
      </w:r>
    </w:p>
    <w:p>
      <w:r>
        <w:rPr>
          <w:b/>
        </w:rPr>
        <w:t>E. 2.3</w:t>
      </w:r>
    </w:p>
    <w:p>
      <w:r>
        <w:t>En l’espèce, la condition de l’indigence n’est pas contestée. Le Ministère public l’admet, relevant dans l’ordonnance entreprise que l’indigence de la prévenue n’est pas remise en question. Par ailleurs, la cause n’est pas de peu de gravité. En effet, seule une peine privative de liberté ferme paraît envisageable pour sanctionner le comportement de la recourante, compte tenu des antécédents de celle-ci et, en particulier, de sa dernière condamnation à une peine de même genre par la Cour d’appel pénale. Certes, l’ordonnance pénale à laquelle la recourante fait opposition la condamne à une peine privative de liberté de 4 mois, ce qui constitue la limite fixée par l’art. 132 al. 3 CPP. Toutefois, une peine plus sévère n’est de loin pas exclue au vu des antécédents de la prévenue et des faits qui lui sont reprochés. Au surplus, le sursis de 3 ans octroyé en 2018, qui prendra fin le 3 juillet 2021, pourrait encore être révoqué, voire prolongé, d’autant que la recourante est dans ce cadre soumise à une assistance de probation et que sa collaboration semble déficiente (cf. P. 23). Enfin, la cause ne présente pas de difficultés particulières s’agissant des faits, même si les versions des protagonistes diffèrent et fluctuent. Si, en droit, les difficultés de la cause ne reposent pas, comme le fait valoir la recourante, sur la computation du délai d’opposition, ni sur la rédaction d’une opposition, celle-ci ne nécessitant pas d’être motivée, la recourante ne paraît toutefois pas comprendre les implications de son comportement et de l’issue de la procédure pénale, ni pour elle-même ni pour l’enfant qu’elle vient d’avoir, de sorte qu’il y a lieu de considérer, dans de telles circonstances, que la cause n’est pas simple en droit. Au vu de ce qui précède, il y a lieu d’admettre que l’assistance d’un défenseur est justifiée pour sauvegarder les intérêts de la recourante. Une défense d’office doit donc être ordonnée.</w:t>
      </w:r>
    </w:p>
    <w:p>
      <w:r>
        <w:rPr>
          <w:b/>
        </w:rPr>
        <w:t>E. 2.4</w:t>
      </w:r>
    </w:p>
    <w:p>
      <w:r>
        <w:t>La recourante conclut à ce que Me Elie Elkaim soit nommé comme son défenseur d’office dès le 5 février 2021, ce qui correspond à la date à laquelle elle l’a consulté. Or, cet avocat n’a requis d’être désigné en cette qualité auprès de la direction de la procédure que le 16 février 2021. Il ne l’a en particulier pas fait à l’appui de l’opposition contre l’ordonnance pénale, qu’il avait préalablement déposée le 12 février 2021. Il ne se justifie dès lors pas de faire droit à une désignation avec effet rétroactif. 3. En définitive, le recours doit être partiellement admis et l’ordonnance querellée réformée en ce sens que l’avocat Elie Elkaim est désigné en qualité de défenseur d’office de la recourante, avec effet au 16 février 2021. Vu l’issue de la cause,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540 fr. (3 heures d’activité d’avocat nécessaire au tarif horaire de 180 fr.), auxquels il convient d’ajouter des débours forfaitaires à concurrence de 2 % (art. 3bis al. 1 RAJ [Règlement sur l’assistance judiciaire en matière civile du 7 décembre 2010 ; BLV 211.02.3], applicable par renvoi de l’art. 26b TFIP), par 10 fr. 80, plus la TVA, par 42 fr. 40, soit à 594 fr. en chiffres arrondis, seront mis par un quart, soit par 396 fr., à la charge de la recourante, le solde étant laissé à la charge de l’Etat (cf. art. 428 al. 1, 1 re phrase, CPP). Le remboursement à l’Etat du quart de l’indemnité allouée au défenseur d’office de la recourante ne sera toutefois exigible que pour autant que la situation financière de cette dernière le permette (art. 135 al. 4 let. a CPP). Par ces motifs, la Chambre des recours pénale prononce : I. Le recours est partiellement admis. II. L’ordonnance du 22 février 2021 est réformée en ce sens que Me Elie Elkaim est désigné en qualité de défenseur d’office de J.________, avec effet au 16 février 2021. L’ordonnance est confirmée pour le surplus. III. L’indemnité allouée au défenseur d’office de J.________ est fixée à 594 fr. (cinq cent nonante-quatre francs). IV. Les frais d’arrêt, par 990 fr. (neuf cent nonante francs), ainsi que l’indemnité due au défenseur d’office de J.________, par 594 fr. (cinq cent nonante-quatre francs), sont mis par un quart, soit par 396 fr. (trois cent nonante-six francs), à la charge de cette dernière, le solde étant laissé à la charge de l’Etat. V. Le remboursement à l’Etat du quart de l’indemnité allouée au chiffre III ci-dessus ne sera exigible que pour autant que la situation financière de J.________ le permette. VI. L’arrêt est exécutoire. Le président : La greffière : Du Le présent arrêt, dont la rédaction a été approuvée à huis clos, est notifié, par l'envoi d'une copie complète, à : - Me Elie Elkaim, avocat (pour J.________), - Ministère public central,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r>
        <w:rPr>
          <w:b/>
        </w:rPr>
        <w:t>E. 4</w:t>
      </w:r>
    </w:p>
    <w:p>
      <w:r>
        <w:t>janvier 2012 consid. 2.2).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(ATF 143 I 164 consid. 3.5 ; TF 6B_243/2017 du 21 septembre 2017 consid. 2.2 ; TF 1B_167/2016 du 1 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et les réf. citées).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1B_494/2019 du 20 décembre 2019 consid. 3.1 et les arrêts cités ; TF 1B_93/2018 du 29 mai 2018 consid. 3.1 ; TF 1B_257/2013 du 28 octobre 2013 consid. 2.1, in SJ 2014 I 273). S'agissant de la difficulté objective de la cause, à l'instar de ce qu'elle a développé en rapport avec les chances de succès d'un recours (cf. ATF 139 III 396 consid. 1.2, JdT 2015 II 411 ; ATF 129 I 129 consid. 2.3.1, JdT 2005 IV 300), la jurisprudence impose de se demander si une personne raisonnable et de bonne foi, qui présenterait les mêmes caractéristiques que le requérant mais disposerait de ressources suffisantes, ferait ou non appel à un avocat (ATF 140 V 521 consid. 9.1 ; TF 1B_257/2013 du 28 octobre 2013 consid. 2.1). La difficulté objective d'une cause est admise sur le plan juridique lorsque la subsomption des faits donne lieu à des doutes, que ce soit de manière générale ou dans le cas particulier (TF 1B_538/2019 du 10 décembre 2019 consid. 3.1 et l'arrêt cité). Pour apprécier la difficulté subjective d'une cause, il faut tenir compte des capacités du prévenu, notamment de son âge, de sa formation, de sa plus ou moins grande familiarité avec la pratique judiciaire, de sa maîtrise de la langue de la procédure (TF 1B_257/2013 du 28 octobre 2013 consid. 2.1), ainsi que des mesures qui paraissent nécessaires, dans le cas particulier, pour assurer sa défense, notamment en ce qui concerne les preuves qu'il devra offrir (TF 1B_9/2020 du 6 mai 2020 consid. 2.2 ; TF 1B_538/2019 du 10 décembre 2019 consid. 3.1 et les arrêts cités ; TF 1B_210/2019 du 29 juillet 2019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