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380 vom 25. April 2021</w:t>
      </w:r>
    </w:p>
    <w:p>
      <w:r>
        <w:t>VD Tribunal cantonal, 2021-04-25, FR</w:t>
      </w:r>
    </w:p>
    <w:p>
      <w:r>
        <w:rPr>
          <w:b/>
        </w:rPr>
        <w:t xml:space="preserve">Quelle: </w:t>
      </w:r>
      <w:r>
        <w:t>https://mcp.opencaselaw.ch/entscheid/vd_findinfo_D_cision___2021___380</w:t>
      </w:r>
    </w:p>
    <w:p>
      <w:r>
        <w:t>FR: VD_FINDINFO Décision / 2021 / 380 du 25 avril 2021</w:t>
      </w:r>
    </w:p>
    <w:p>
      <w:r>
        <w:t>IT: VD_FINDINFO Décision / 2021 / 380 del 25 aprile 2021</w:t>
      </w:r>
    </w:p>
    <w:p>
      <w:pPr>
        <w:pStyle w:val="Heading2"/>
      </w:pPr>
      <w:r>
        <w:t>Regeste</w:t>
      </w:r>
    </w:p>
    <w:p>
      <w:r>
        <w:t>PRÉFET, JONCTION DE CAUSES, SUSPENSION DE LA PROCÉDURE, DROIT D'ÊTRE ENTENDU, QUALITÉ POUR RECOURIR, INTÉRÊT ACTUEL, COMPÉTENCE RATIONE LOCI | 29 al. 2 Cst., 49 Cst., 29 CPP (CH), 30 CPP (CH), 314 al. 1 let. b CPP (CH), 382 al. 1 CPP (CH)</w:t>
      </w:r>
    </w:p>
    <w:p>
      <w:pPr>
        <w:pStyle w:val="Heading2"/>
      </w:pPr>
      <w:r>
        <w:t>Erwägungen</w:t>
      </w:r>
    </w:p>
    <w:p>
      <w:r>
        <w:rPr>
          <w:b/>
        </w:rPr>
        <w:t>E. 1.1</w:t>
      </w:r>
    </w:p>
    <w:p>
      <w:r>
        <w:t>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w:t>
      </w:r>
    </w:p>
    <w:p>
      <w:r>
        <w:rPr>
          <w:b/>
        </w:rPr>
        <w:t>E. 1.2</w:t>
      </w:r>
    </w:p>
    <w:p>
      <w:r>
        <w:t>En l’espèce, le recours a été déposé en temps utile, devant l’autorité compétente et dans les formes prescrites (art. 385 al. 1 CPP), de sorte qu’il est recevable, sous réserve de ce qui sera exposé aux considérants 2 et 3 ci-dessous.</w:t>
      </w:r>
    </w:p>
    <w:p>
      <w:r>
        <w:rPr>
          <w:b/>
        </w:rPr>
        <w:t>E. 1.3</w:t>
      </w:r>
    </w:p>
    <w:p>
      <w:r>
        <w:t>Le recours est dirigé contre la décision de refus de suspension rendue par le Préfet du district de Lavaux-Oron dans chacune des treize procédures précitées, et versée séparément dans les dossiers des treize prévenus. Dans la mesure où le conseil des recourants a déposé un seul acte indiquant tous les recourants comme parties, lequel contient donc une seule argumentation et les mêmes conclusions s’agissant de l’ensemble des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 déroulement de la procédure, il y a lieu, pour des motifs d’économie de procédure, de joindre les treize causes devant l’autorité de recours et de statuer dans un seul arrêt.</w:t>
      </w:r>
    </w:p>
    <w:p>
      <w:r>
        <w:rPr>
          <w:b/>
        </w:rPr>
        <w:t>E. 2.1</w:t>
      </w:r>
    </w:p>
    <w:p>
      <w:r>
        <w:t>Les recourants soutiennent qu’en refusant de suspendre les procédures pénales, le préfet aurait violé l’art. 314 al. 1 let. b CPP, qui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 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 pénales en cause ne revêtant pas une urgence particulière. Au surplus, le refus de suspendre les procédures pénales aurait « de facto » pour effet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w:t>
      </w:r>
    </w:p>
    <w:p>
      <w:r>
        <w:rPr>
          <w:b/>
        </w:rPr>
        <w:t>E. 2.2.1</w:t>
      </w:r>
    </w:p>
    <w:p>
      <w:r>
        <w:t>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 e éd. Zurich 2020, n. 25 ad art. 314 StPO et les références citées).</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w:t>
      </w:r>
    </w:p>
    <w:p>
      <w:r>
        <w:rPr>
          <w:b/>
        </w:rPr>
        <w:t>E. 2.3</w:t>
      </w:r>
    </w:p>
    <w:p>
      <w:r>
        <w:t>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w:t>
      </w:r>
    </w:p>
    <w:p>
      <w:r>
        <w:rPr>
          <w:b/>
        </w:rPr>
        <w:t>E. 3</w:t>
      </w:r>
    </w:p>
    <w:p>
      <w:r>
        <w:t>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des recours administratifs qu’ils ont déposés. Cet argument est manifestement dénué de toute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w:t>
      </w:r>
    </w:p>
    <w:p>
      <w:r>
        <w:rPr>
          <w:b/>
        </w:rPr>
        <w:t>E. 3.1</w:t>
      </w:r>
    </w:p>
    <w:p>
      <w:r>
        <w:t>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 recourants en déduisent que le refus de joindre les causes ne répondrait à aucun intérêt légitime et procéderait d’un abus du pouvoir d’appréciation.</w:t>
      </w:r>
    </w:p>
    <w:p>
      <w:r>
        <w:rPr>
          <w:b/>
        </w:rPr>
        <w:t>E. 3.2.1</w:t>
      </w:r>
    </w:p>
    <w:p>
      <w:r>
        <w:t>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 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w:t>
      </w:r>
    </w:p>
    <w:p>
      <w:r>
        <w:rPr>
          <w:b/>
        </w:rPr>
        <w:t>E. 3.2.2</w:t>
      </w:r>
    </w:p>
    <w:p>
      <w:r>
        <w:t>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 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w:t>
      </w:r>
    </w:p>
    <w:p>
      <w:r>
        <w:rPr>
          <w:b/>
        </w:rPr>
        <w:t>E. 3.2.3</w:t>
      </w:r>
    </w:p>
    <w:p>
      <w:r>
        <w:t>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w:t>
      </w:r>
    </w:p>
    <w:p>
      <w:r>
        <w:rPr>
          <w:b/>
        </w:rPr>
        <w:t>E. 3.3.1</w:t>
      </w:r>
    </w:p>
    <w:p>
      <w:r>
        <w:t>En l’espèce, ce qui a été dit plus haut (cf. consid. 2.2.1 supra )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w:t>
      </w:r>
    </w:p>
    <w:p>
      <w:r>
        <w:rPr>
          <w:b/>
        </w:rPr>
        <w:t>E. 3.3.2</w:t>
      </w:r>
    </w:p>
    <w:p>
      <w:r>
        <w:t>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chacun d’eux a en outre forcément une comptabilité de cave, des comptabilités financière et d’exploitation, des locaux commerciaux et d’entreposage, des inventaires, des documents utiles au contrôle, etc. différents de chacun des autres prévenus du même district. Sous l’angle des faits, l’instruction devra donc être individualisée. Il en ira également de même des circonstances à prendre en compte pour fixer l’éventuelle amende, dont la culpabilité de l’auteur, qui dépend elle-même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 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les autres prévenus auraient accès à tout le dossier, donc notamment aux éléments qui concernent leur situation personnelle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2’340 fr. (art. 20 al. 1 TFIP [Tarif des frais judiciaires et indemnités en matière pénale du 28 septembre 2010 ; BLV 312.03.1]), seront mis à la charge des recourants, qui succombent (art. 428 al. 1 CPP), solidairement entre eux (art. 418 al. 2 CPP). Par ces motifs, la juge unique prononce : I. Les causes n os LAO/01/21/0000101, LAO/01/21/0000102, LAO/01/21/ 0000104, LAO/01/21/0000106, LAO/01/21/0000108, LAO/01/21/ 0000109, LAO/01/21/0000110, LAO/01/21/0000112, LAO/01/21/ 0000113, LAO/01/21/0000114, LAO/01/21/0000115, LAO/01/21/ 0000116 et LAO/01/21/0000117 sont jointes devant l’autorité de recours. II. Le recours est rejeté dans la mesure de sa faible recevabilité. III. La décision du 5 mars 2021 est confirmée. IV. Les frais d’arrêt, par 2’340 fr. (deux mille trois cent quarante francs), sont mis à la charge de F.________, Q.________, W.________, H.________, A.R.________, B.R.________, G.________, D.________, M.________, X.________, E.________, J.V.________ et K.V.________, solidairement entre eux. V. L’arrêt est exécutoire. La juge unique :               La greffière : Du Le présent arrêt, dont la rédaction a été approuvée à huis clos, est notifié, par l'envoi d'une copie complète, à : - Me Alain Alberini, avocat (pour F.________, Q.________, W.________, H.________, A.R.________, B.R.________, G.________, D.________, M.________, X.________, E.________, J.V.________ et K.V.________), - Ministère public central, et communiqué à : ‑ M. le Préfet du district de Lavaux-Oron,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r>
        <w:rPr>
          <w:b/>
        </w:rPr>
        <w:t>E. 5</w:t>
      </w:r>
    </w:p>
    <w:p>
      <w:r>
        <w:t>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