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363 vom 3. Februar 2021</w:t>
      </w:r>
    </w:p>
    <w:p>
      <w:r>
        <w:t>VD Tribunal cantonal, 2021-02-03, FR</w:t>
      </w:r>
    </w:p>
    <w:p>
      <w:r>
        <w:rPr>
          <w:b/>
        </w:rPr>
        <w:t xml:space="preserve">Quelle: </w:t>
      </w:r>
      <w:r>
        <w:t>https://mcp.opencaselaw.ch/entscheid/vd_findinfo_D_cision___2021___363</w:t>
      </w:r>
    </w:p>
    <w:p>
      <w:r>
        <w:t>FR: VD_FINDINFO Décision / 2021 / 363 du 3 février 2021</w:t>
      </w:r>
    </w:p>
    <w:p>
      <w:r>
        <w:t>IT: VD_FINDINFO Décision / 2021 / 363 del 3 febbraio 2021</w:t>
      </w:r>
    </w:p>
    <w:p>
      <w:pPr>
        <w:pStyle w:val="Heading2"/>
      </w:pPr>
      <w:r>
        <w:t>Regeste</w:t>
      </w:r>
    </w:p>
    <w:p>
      <w:r>
        <w:t>NON-LIEU, ADMISSION DE LA DEMANDE, LOI FÉDÉRALE SUR LA PROTECTION DES ANIMAUX, IN DUBIO PRO DURIORE | 310 CPP (CH)</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 2 et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 Interjeté en temps utile et dans les formes prescrites (art. 385 al. 1 CPP) auprès de l’autorité compétente, par la partie plaignante qui a qualité pour recourir (art. 382 al. 1 CPP), le recours est recevable. Les vidéos produites par le recourant sont également recevables (art. 393 al.</w:t>
      </w:r>
    </w:p>
    <w:p>
      <w:r>
        <w:rPr>
          <w:b/>
        </w:rPr>
        <w:t>E. 2</w:t>
      </w:r>
    </w:p>
    <w:p>
      <w:r>
        <w:t>CPP).</w:t>
      </w:r>
    </w:p>
    <w:p>
      <w:r>
        <w:rPr>
          <w:b/>
        </w:rPr>
        <w:t>E. 2.1</w:t>
      </w:r>
    </w:p>
    <w:p>
      <w:r>
        <w:t>Conformément à l'art. 310 al. 1 let. a CPP, le Ministère public rend immédiatement – c'est-à-dire sans qu'une instruction soit ouverte (art. 309 al. 1 et 4 CPP) – une ordonnance de non-entrée en matière lorsqu'il apparaît, à réception de la dénonciation (cf. art. 301 et 302 CPP) ou de la plainte ou après une procédure préliminaire limitée aux investigations de la police (art. 300 al. 1 let. a, 306 et 307 CPP), que les éléments constitutifs d'une infraction ou les conditions d'ouverture de l'action pénale ne sont manifestement pas réunis. Selon cette disposition, qui doit être appliquée selon l’adage « in dubio pro duriore », il importe donc que les éléments constitutifs de l'infraction ne soient manifestement pas réunis (TF 6B_401/2020 du 13 août 2020 consid. 2.1). En d'autres termes, il faut être certain que l'état de fait ne constitue aucune infraction (ATF 137 IV 285 consid. 2.3, JdT 2012 IV 160).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consid. 4.1.2 ; ATF 137 IV 285 consid. 2.3 et les réf. citées).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au stade de la clôture de l'instruction, que le prévenu soit mis en accusation. En amont, une telle configuration exclut aussi, en principe, une décision de non-entrée en matière. Cela vaut en particulier lorsqu'il s'agit de délits commis typiquement « entre quatre yeux » pour lesquels il n'existe souvent aucune preuve objective ; il peut toutefois être renoncé à une mise en accusation ou à une ouverture d’enquête lorsqu’une condamnation apparaît au vu de l’ensemble des circonstances a priori improbable (ATF 143 IV 241 consid. 2.2.2 ; TF 6B_193/2018 du 3 juillet 2018 consid. 2.1 et les arrêts cités).</w:t>
      </w:r>
    </w:p>
    <w:p>
      <w:r>
        <w:rPr>
          <w:b/>
        </w:rPr>
        <w:t>E. 2.2</w:t>
      </w:r>
    </w:p>
    <w:p>
      <w:r>
        <w:t>L'art. 26 LPA (loi fédérale du 16 décembre 2005 sur la protection des animaux ; RS 455) punit d'une peine privative de liberté de trois ans au plus ou d'une peine pécuniaire quiconque, intentionnellement, maltraite un animal, le néglige ou le surmène inutilement ou porte atteinte à sa dignité d'une autre manière (al. 1 let. a). Si l'auteur agit par négligence, il est puni d'une peine pécuniaire de 180 jours-amende au plus (al. 2). D’après l’art. 16 al. 1 OPAn (ordonnance sur la protection des animaux du 23 avril 2008 ; RS 455.1), il est interdit de maltraiter les animaux, de les négliger ou de les surmener inutilement. Il est notamment interdit de leur donner des coups sur les yeux ou les parties génitales ainsi que de leur casser ou de leur écraser la queue (al. 2 let. b), de leur administrer des substances ou produits qui influent sur leurs performances ou leur apparence, si ces substances ou produits sont nuisibles pour leur santé ou leur bien-être (al. 2 let. g) ou de procéder à des interventions sur eux ou de les omettre en vue d’une exposition, si ces actions causent des douleurs ou des maux à l’animal ou si son bien-être en pâtit d’une autre manière (al. 2 let. i).</w:t>
      </w:r>
    </w:p>
    <w:p>
      <w:r>
        <w:rPr>
          <w:b/>
        </w:rPr>
        <w:t>E. 3</w:t>
      </w:r>
    </w:p>
    <w:p>
      <w:r>
        <w:t>En l’espèce, le recourant conteste la version des faits donnée par la prévenue. Il estime qu’il est impossible qu’elle ait saisi son chien par le collier car ses chiens n’ont pas de collier à l’intérieur de la maison ni dans le jardin. Il maintient que ceux-ci ne s’en sont jamais pris à ses chats et que c’est seulement parce qu’elle a « pété les plombs » qu’elle s’en est prise volontairement à ses chiens. Il ajoute qu’elle est notoirement agressive et irrespectueuse et que c’est pour ce motif qu’elle a été invitée à quitter la colocation, ayant des problèmes avec le voisinage et le propriétaire de l’immeuble. En l’occurrence, c’est avec raison que le procureur a écarté l’infraction de dommage à la propriété. Le recourant ne le conteste du reste pas. Demeure la question de l’infraction au sens des art. 26 LPA et 16 OPAn. Dès lors que les faits dénoncés ont été commis « entre quatre yeux » et qu’il n’existe aucune mesure d’instruction permettant de départager les deux thèses en présence, une condamnation de la prévenue apparaît très improbable. En particulier, les vidéos produites avec le recours n’ont pas été prises au moment des faits, et n’ont donc pas de caractère probant. Au demeurant, comme l’a retenu le procureur, les faits décrits par le recourant ne rentrent pas dans les prévisions de ces dispositions protégeant les animaux, ni dans celles d’aucune autre disposition pénale. En effet, le fait de laisser traîner des stupéfiants à la portée des animaux peut éventuellement constituer le délit de mauvais traitements infligés aux animaux par négligence, réprimé par les art. 26 al. 2 LPA et 16 al. 2 let. g OPAn, mais uniquement si le résultat se produit (ingestion des stupéfiants), hypothèse non réalisée en l’espèce. Selon le plaignant, la prévenue n’a pas donné de coups sur les parties génitales de ses chiens, ni sur leurs yeux, et elle ne leur a pas écrasé la queue. L’hypothèse envisagée par l’art. 16 al. 2 let. b OPAn n’est donc pas réalisée. En outre, les animaux du plaignant n’ont pas fait l’objet d’une exposition, de sorte que l’hypothèse de l’art. 16 al. 2 let. i OPAn n’est pas non plus réalisée. Il s’ensuit que les faits dénoncés n’entrent dans aucun des cas expressément énumérés par la disposition légale topique. Certes, celle-ci fournit une liste exemplative des cas devant être réprimés pénalement, ainsi que cela ressort du terme « notamment » qui y figure. Il découle cependant de cette liste que, pour être réprimées pénalement, les comportements vis-à-vis des animaux doivent être caractérisés, tant quant à la maltraitance que quant à la douleur infligée, ce d’autant que, selon l’art. 1 CP, une peine ne peut être prononcée qu’en raison d’un acte expressément réprimé par la loi. Or, en l’espèce, il ne ressort pas du récit fait par le plaignant que le comportement adopté par la prévenue puisse être suffisamment caractérisé pour entrer dans les prévisions légales. En conclusion, pour les deux motifs précités, une condamnation de la prévenue apparaît exclue. C’est donc à raison que le Ministère public a rendu une ordonnance de non-entrée en matière.</w:t>
      </w:r>
    </w:p>
    <w:p>
      <w:r>
        <w:rPr>
          <w:b/>
        </w:rPr>
        <w:t>E. 4</w:t>
      </w:r>
    </w:p>
    <w:p>
      <w:r>
        <w:t>Il résulte de ce qui précède que le recours doit être rejeté et l’ordonnance entreprise confirmée. Les frais de la procédure, constitués de l’émolument d’arrêt, par 660 fr. (art. 20 al. 1 TFIP [tarif des frais de procédure et indemnités en matière pénale du 28 septembre 2010; BLV 312.03.1]), seront mis à la charge du recourant, A.________, qui succombe (art. 428 al. 1 CPP). Par ces motifs, la Chambre des recours pénale prononce : I. Le recours est rejeté. II. L’ordonnance du 10 décembre 2020 est confirmée. III. Les frais d’arrêt, par 660 fr. (six cent soixante francs), sont mis à la charge de A.________. IV. L’arrêt est exécutoire. Le président :               La greffière: Du Le présent arrêt, dont la rédaction a été approuvée à huis clos, est notifié, par l'envoi d'une copie complète, à : - A.________, - Ministère public central, et com 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