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348 vom 29. April 2021</w:t>
      </w:r>
    </w:p>
    <w:p>
      <w:r>
        <w:t>VD Tribunal cantonal, 2021-04-29, FR</w:t>
      </w:r>
    </w:p>
    <w:p>
      <w:r>
        <w:rPr>
          <w:b/>
        </w:rPr>
        <w:t xml:space="preserve">Quelle: </w:t>
      </w:r>
      <w:r>
        <w:t>https://mcp.opencaselaw.ch/entscheid/vd_findinfo_D_cision___2021___348</w:t>
      </w:r>
    </w:p>
    <w:p>
      <w:r>
        <w:t>FR: VD_FINDINFO Décision / 2021 / 348 du 29 avril 2021</w:t>
      </w:r>
    </w:p>
    <w:p>
      <w:r>
        <w:t>IT: VD_FINDINFO Décision / 2021 / 348 del 29 aprile 2021</w:t>
      </w:r>
    </w:p>
    <w:p>
      <w:pPr>
        <w:pStyle w:val="Heading2"/>
      </w:pPr>
      <w:r>
        <w:t>Regeste</w:t>
      </w:r>
    </w:p>
    <w:p>
      <w:r>
        <w:t>DÉTENTION PROVISOIRE, RISQUE DE RÉCIDIVE, REJET DE LA DEMANDE, MESURE DE SUBSTITUTION À LA DÉTENTION | 221 al. 1 let. c CPP (CH), 221 al. 2 CPP (CH)</w:t>
      </w:r>
    </w:p>
    <w:p>
      <w:pPr>
        <w:pStyle w:val="Heading2"/>
      </w:pPr>
      <w:r>
        <w:t>Erwägungen</w:t>
      </w:r>
    </w:p>
    <w:p>
      <w:r>
        <w:rPr>
          <w:b/>
        </w:rPr>
        <w:t>E. 6.1</w:t>
      </w:r>
    </w:p>
    <w:p>
      <w:r>
        <w:t>Le recourant sollicite la mise en œuvre de mesures de substitu­tion, faisant valoir que de telles mesures seraient de nature à empêcher la réalisation des risques avancés par le Ministère public et qu’il ne se justifierait pas de le désocialiser complètement – employé à hauteur de 40% dans une fiduciaire et gérant d’une société avec un autre gérant – alors qu’aucun lien objectif ne le relierait aux infractions faisant l’objet de la présente procédure.</w:t>
      </w:r>
    </w:p>
    <w:p>
      <w:r>
        <w:rPr>
          <w:b/>
        </w:rPr>
        <w:t>E. 6.2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6.3</w:t>
      </w:r>
    </w:p>
    <w:p>
      <w:r>
        <w:t>En l’espèce, au vu de la gravité des menaces proférées et du risque de passage à l’acte retenu, les mesures de substitution proposées ne sont à l’évidence pas suffisantes. On ne saurait en effet se contenter des engagements du prévenu qui conteste à ce stade toute implication dans les faits qui lui sont reprochés et qui n’apparaît pas digne de la confiance nécessaire. Enfin, aucune autre mesure de substitution n’apparaît susceptible de contenir le risque de passage à l’acte retenu. Pour le surplus, au terme de la détention provisoire ordonnée par le Tribunal des mesures de contrainte, le recourant aura subi trois mois de détention, ce qui ne saurait être considéré comme excessif au vu de la gravité des faits qui lui sont reprochés. L’instruction se poursuit sans discontinue. Partant, le principe de la proportionnalité est respecté (art. 212 al. 3 CPP).</w:t>
      </w:r>
    </w:p>
    <w:p>
      <w:r>
        <w:rPr>
          <w:b/>
        </w:rPr>
        <w:t>E. 7</w:t>
      </w:r>
    </w:p>
    <w:p>
      <w:r>
        <w:t>En définitive, le recours interjeté par X.________, manifestement mal fondé, doit être rejeté sans échange d'écritures (art. 390 al. 2 CPP) et l'ordonnance attaquée confirmée. Les frais de la procédure de recours, constitués de l’émolument d’arrêt, par 1'320 fr. ( art. 20 al. 1 TFIP [Tarif des frais de procédure et indemnités en matière pénale du 28 septembre 2010; BLV 312.03.1]), ainsi que des frais imputables à la défense d’office (art. 422 al. 1 et 2 let. a CPP), fixés à 540 fr. sur la base d’une durée d’activité nécessaire d’avocat estimée à trois heures et d’un tarif horaire de 180 fr., auxquels il convient d’ajouter des débours forfaitaires à concurrence de 2 % (art. 2 al. 1 let. a et 3bis  al. 1 RAJ [Règlement sur l'assistance judiciaire en matière civile du 7 décembre 2010  ; BLV 211.02.3], applicables par renvoi de l’art. 26b TFIP), par 10 fr. 80, plus la TVA par 42 fr. 40, soit à 593 fr. 20 au total, arrondis à 594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16 avril 2021 est confirmée. III. L’indemnité allouée au défenseur d’office de X.________ est fixée à 594 fr. (cinq cent nonante-quatre francs). IV. Les frais d’arrêt, par 1'320 fr. (mille trois cent vingt francs), ainsi que l’indemnité due au défenseur d’office de X.________, par 594 fr. (cinq cent nonante-quatre francs),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Silvia Gutierrez, avocate (pour X.________), - Ministère public central, et communiqué à : ‑ M. le Président du Tribunal des mesures de contrainte, - Mme la Procureur de l’arrondissement de La Côte, - Monsieur Matthieu Genillod, avocat (pour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