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339 vom 26. April 2021</w:t>
      </w:r>
    </w:p>
    <w:p>
      <w:r>
        <w:t>VD Tribunal cantonal, 2021-04-26, FR</w:t>
      </w:r>
    </w:p>
    <w:p>
      <w:r>
        <w:rPr>
          <w:b/>
        </w:rPr>
        <w:t xml:space="preserve">Quelle: </w:t>
      </w:r>
      <w:r>
        <w:t>https://mcp.opencaselaw.ch/entscheid/vd_findinfo_D_cision___2021___339</w:t>
      </w:r>
    </w:p>
    <w:p>
      <w:r>
        <w:t>FR: VD_FINDINFO Décision / 2021 / 339 du 26 avril 2021</w:t>
      </w:r>
    </w:p>
    <w:p>
      <w:r>
        <w:t>IT: VD_FINDINFO Décision / 2021 / 339 del 26 aprile 2021</w:t>
      </w:r>
    </w:p>
    <w:p>
      <w:pPr>
        <w:pStyle w:val="Heading2"/>
      </w:pPr>
      <w:r>
        <w:t>Regeste</w:t>
      </w:r>
    </w:p>
    <w:p>
      <w:r>
        <w:t>DÉTENTION PROVISOIRE, RISQUE DE FUITE, RISQUE DE RÉCIDIVE, RISQUE DE COLLUSION | 221 al. 1 let. a CPP (CH), 221 al. 1 let. b CPP (CH), 221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Chaix, in : Jeanneret/Kuhn/Perrier Depeursinge [éd.], Commentaire romand, Code de procédure pénale suisse, 2 e éd., Bâle 2019, nn. 4 ss ad art. 221 CPP).</w:t>
      </w:r>
    </w:p>
    <w:p>
      <w:r>
        <w:rPr>
          <w:b/>
        </w:rPr>
        <w:t>E. 3.1</w:t>
      </w:r>
    </w:p>
    <w:p>
      <w:r>
        <w:t>En l’occurrence le recourant ne conteste pas, à juste titre, l’existence de soupçons suffisants à son encontre. Il conteste en revanche l’existence d’un risque de fuite en faisant valoir qu’il avait d’emblée collaboré avec les autorités et s’était spontanément expliqué sur l’ensemble de son activité délictueuse lors de son audition du 10 février 2021 par la police judiciaire genevoise. En outre, il a déclaré regretter ce qui s’était produit et assumer ses actes en homme responsable, ce qui démontrerait qu’il serait disposé à collaborer avec les autorités de poursuite pénale et qu’il n’aurait pas l’intention de prendre la fuite.</w:t>
      </w:r>
    </w:p>
    <w:p>
      <w:r>
        <w:rPr>
          <w:b/>
        </w:rPr>
        <w:t>E. 3.2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143 IV 160 consid. 4.3 ; TF 1B_174/2019 du 3 mai 2019 consid. 3.1 ; TF 1B_412/2014 du 12 janvier 2015 consid. 4.1).</w:t>
      </w:r>
    </w:p>
    <w:p>
      <w:r>
        <w:rPr>
          <w:b/>
        </w:rPr>
        <w:t>E. 3.3</w:t>
      </w:r>
    </w:p>
    <w:p>
      <w:r>
        <w:t>En l’occurrence, le prévenu est domicilié en Belgique, pays dont il est ressortissant et où réside sa famille. Il a le statut de touriste et n’a aucune attache avec la Suisse. Par conséquent, et quoi qu’en dise le recourant, celui-ci présente un risque sérieux de fuite ou, à tout le moins, de passage dans la clandestinité, afin de se dérober à la poursuite pénale, ce d’autant plus qu’il sait être exposé à une sanction sensible, en raison de la gravité objective des faits. Dans son audition du 10 février 2021, il a au demeurant indiqué avoir envie de retourner habiter en Afrique.</w:t>
      </w:r>
    </w:p>
    <w:p>
      <w:r>
        <w:rPr>
          <w:b/>
        </w:rPr>
        <w:t>E. 4</w:t>
      </w:r>
    </w:p>
    <w:p>
      <w:r>
        <w:t>Le Tribunal des mesures de contrainte n’ayant retenu que le risque de fuite, les risques de collusion et de réitération n’ont pas à être examinés.</w:t>
      </w:r>
    </w:p>
    <w:p>
      <w:r>
        <w:rPr>
          <w:b/>
        </w:rPr>
        <w:t>E. 5</w:t>
      </w:r>
    </w:p>
    <w:p>
      <w:r>
        <w:t>Le recourant fait valoir que la durée de la prolongation de sa détention provisoire, soit trois mois, serait disproportionnée et soutient que son maintien en détention au-delà du 7 mai 2021 serait excessif.</w:t>
      </w:r>
    </w:p>
    <w:p>
      <w:r>
        <w:rPr>
          <w:b/>
        </w:rPr>
        <w:t>E. 5.1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w:t>
      </w:r>
    </w:p>
    <w:p>
      <w:r>
        <w:rPr>
          <w:b/>
        </w:rPr>
        <w:t>E. 5.2</w:t>
      </w:r>
    </w:p>
    <w:p>
      <w:r>
        <w:t>Le recourant a été incarcéré le 10 février 2021, soit depuis un peu plus de deux mois. Le rapport de la police de sûreté vaudoise du 12 mars 2021 indique que le mode opératoire appliqué dans cette affaire doit être considéré comme une variante des escroqueries de type « Zairean Connection », qui nécessite de nombreuses mesures d’instruction. Ainsi, au vu du type des infractions en cause, des mesures d’instruction annoncées par la procureure dans sa demande de prolongation de la détention du 30 mars 2021 (contrôles téléphoniques, ordre de production de pièces) et de la quotité de la peine que K.________ encourt en cas de condamnation, force est d’admettre que la durée de la détention provisoire, ordonnée pour trois mois, soit jusqu’au 10 juillet 2021, est conforme au principe de proportionnalité.</w:t>
      </w:r>
    </w:p>
    <w:p>
      <w:r>
        <w:rPr>
          <w:b/>
        </w:rPr>
        <w:t>E. 6.1</w:t>
      </w:r>
    </w:p>
    <w:p>
      <w:r>
        <w:t>Le recourant conteste le refus de le mettre au bénéfice des mesures de substitution qu’il a proposées.</w:t>
      </w:r>
    </w:p>
    <w:p>
      <w:r>
        <w:rPr>
          <w:b/>
        </w:rPr>
        <w:t>E. 6.2</w:t>
      </w:r>
    </w:p>
    <w:p>
      <w:r>
        <w:t>Conformément au principe de la proportionnalité (art. 36 al. 3 Cst.;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ATF 133 I 270 consid. 2.2; Coquoz, in : CR CPP, op. cit., n. 2 ad art. 237 CPP).</w:t>
      </w:r>
    </w:p>
    <w:p>
      <w:r>
        <w:rPr>
          <w:b/>
        </w:rPr>
        <w:t>E. 6.3</w:t>
      </w:r>
    </w:p>
    <w:p>
      <w:r>
        <w:t>En l’espèce, les mesures de substitution proposées par le recourant pour endiguer le risque de fuite, soit notamment l’obligation de se présenter régulièrement à un service administratif ou à un poste de police et la saisie de ses documents d’identité, ne sont pas pertinentes. Il résulte en effet de la jurisprudence du Tribunal fédéral que de telles mesures ne sont pas suffisantes, dès lors qu’en l'absence de contrôle d'identité aux frontières dans l'espace Schengen, rien n'empêcherait un prévenu de quitter facilement la  Suisse (ATF 145 IV 503 consid. 3.2). Les autres mesures proposées, soit l’interdiction d’entretenir des relations avec les autres protagonistes ou encore la mise sous écoute de tout téléphone portable qu’il acquerrait ne sont pas non plus propres à pallier le risque retenu.</w:t>
      </w:r>
    </w:p>
    <w:p>
      <w:r>
        <w:rPr>
          <w:b/>
        </w:rPr>
        <w:t>E. 7</w:t>
      </w:r>
    </w:p>
    <w:p>
      <w:r>
        <w:t>En définitive, le recours doit être rejeté et l’ordonnance attaquée confirmée. Les frais de la procédure de recours, constitués en l’espèce de l’émolument d'arrêt, par 990 fr. (art. 20 al. 1 TFIP [Tarif des frais judiciaires de procédure et indemnités en matière pénale du 28 septembre 2010; BLV 312.03.1]), et des frais imputables à la défense d’office (art. 422 al. 1 et 2 let. a CPP), fixés à 440 fr. (4 heures au tarif horaire d’avocat stagiaire de 110 fr.), auxquels il convient d’ajouter des débours forfaitaires à concurrence de 2%, par 8 fr. 80, plus la TVA, par 34 fr. 55, soit à 484 fr. au total en chiffres arrondis,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8 avril 2021 est confirmée. III. L’indemnité allouée au défenseur d’office de K.________ est fixée à 484 fr. (quatre cent huitante-quatre francs). IV. Les frais d’arrêt, par 990 fr. (neuf cent nonante francs), ainsi que l’indemnité due au défenseur d’office du recourant, par 484 fr. (quatre cent huitante-quatre francs), sont mis à la charge de K.________. V. Le remboursement à l’Etat de l’indemnité allouée au chiffre III ci-dessus ne sera exigible que pour autant que la situation financière de K.________ le permette. VI. L’arrêt est exécutoire. Le président :               La greffière : Du Le présent arrêt, dont la rédaction a été approuvée à huis clos, est notifié, par l'envoi d'une copie complète, à : - Me Estelle Chanson, avocate (pour K.________), - Ministère public central, et communiqué à : ‑ Mme la Procureure de l’arrondissement de Lausanne, - Mme la Présidente du Tribunal des mesures de contrainte,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