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331 vom 2. März 2021</w:t>
      </w:r>
    </w:p>
    <w:p>
      <w:r>
        <w:t>VD Tribunal cantonal, 2021-03-02, FR</w:t>
      </w:r>
    </w:p>
    <w:p>
      <w:r>
        <w:rPr>
          <w:b/>
        </w:rPr>
        <w:t xml:space="preserve">Quelle: </w:t>
      </w:r>
      <w:r>
        <w:t>https://mcp.opencaselaw.ch/entscheid/vd_findinfo_D_cision___2021___331</w:t>
      </w:r>
    </w:p>
    <w:p>
      <w:r>
        <w:t>FR: VD_FINDINFO Décision / 2021 / 331 du 2 mars 2021</w:t>
      </w:r>
    </w:p>
    <w:p>
      <w:r>
        <w:t>IT: VD_FINDINFO Décision / 2021 / 331 del 2 marzo 2021</w:t>
      </w:r>
    </w:p>
    <w:p>
      <w:pPr>
        <w:pStyle w:val="Heading2"/>
      </w:pPr>
      <w:r>
        <w:t>Regeste</w:t>
      </w:r>
    </w:p>
    <w:p>
      <w:r>
        <w:t>OPPORTUNITÉ, ADMISSION DE LA DEMANDE, ENQUÊTE PÉNALE | 54 CP, 310 CPP (CH), 8 al. 1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interjeté en temps utile auprès de l’autorité compétente et dans les formes prescrites par la partie plaignante qui a qualité pour recourir (art. 382 al. 1 CPP), le recours est recevable. Les pièces nouvelles produites par la recourante sont également recevables (cf. CREP 16 novembre 2020/905).</w:t>
      </w:r>
    </w:p>
    <w:p>
      <w:r>
        <w:rPr>
          <w:b/>
        </w:rPr>
        <w:t>E. 2.1</w:t>
      </w:r>
    </w:p>
    <w:p>
      <w:r>
        <w:t>La recourante conteste que les conditions pour renoncer à la poursuite pénale en application de l’art. 54 CP (Code pénal suisse du 21 décembre 1937 ; RS 311.0) soient remplies en l’espèce. Elle soutient, jurisprudence à l’appui, que cette disposition ne viserait que les conséquences directes de l’acte en lui-même et non ses conséquences indirectes, comme le licenciement consécutif à l’acte délictueux. Le prévenu ne devrait donc pas échapper à une poursuite et à une condamnation pénale sous prétexte qu’il a subi les conséquences de ses actes, à savoir un licenciement et une période de chômage, ainsi que les procédures qui en ont découlé (contestation judiciaire et sanctions de l’assurance sociale). F.________ disposeraient d’un intérêt manifeste à ce que l’usage d’un titre ou d’un certificat de collaborateur ou pour un proche d’un collaborateur ne soit pas utilisé abusivement, à titre de prévention générale et spéciale. La recourante expose encore que M.________ ne vivrait pas à la même adresse que S.________ et que le couple n’aurait pas d’enfant commun ; ils ne rempliraient donc pas les conditions pour bénéficier d’une carte de réduction pour concubine.</w:t>
      </w:r>
    </w:p>
    <w:p>
      <w:r>
        <w:rPr>
          <w:b/>
        </w:rPr>
        <w:t>E. 2.2.1</w:t>
      </w:r>
    </w:p>
    <w:p>
      <w:r>
        <w:t>Conformément à l'art. 310 al. 1 let. a CPP, le Ministère public rend immédiatement – c'est-à-dire sans qu'une instruction soit ouverte (art. 309 al. 1 et 4 CPP ; TF 1B_111/2012 du 5 avril 2012 consid. 2.1 ; Grodecki/Cornu, in : Jeanneret/Kuhn/Perrier Depeursinge [édit.], Code de procédure pénale suisse, Commentaire romand, 2 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w:t>
      </w:r>
    </w:p>
    <w:p>
      <w:r>
        <w:rPr>
          <w:b/>
        </w:rPr>
        <w:t>E. 2.2.2</w:t>
      </w:r>
    </w:p>
    <w:p>
      <w:r>
        <w:t>Selon l’art. 54 CP, 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(ATF 137 IV 105 consid. 2.3). En cas d'infraction intentionnelle, une réduction de la peine en application de l'art. 54 CP est possible, mais ne doit être admise qu'avec retenue (TF 6B_373/2009 du 22 septembre 2009 consid. 3.3.2 ; Riklin, Basler Kommentar, Strafrecht, 3 e éd. 2013, n° 41 ad art. 54 CP).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 TF 2C_508/2014 du 20 février 2015 consid. 7).</w:t>
      </w:r>
    </w:p>
    <w:p>
      <w:r>
        <w:rPr>
          <w:b/>
        </w:rPr>
        <w:t>E. 2.3</w:t>
      </w:r>
    </w:p>
    <w:p>
      <w:r>
        <w:t>En l’espèce, le Ministère public a renoncé à l’ouverture d’une enquête pénale en raison des conséquences indirectes de l’acte reproché au prévenu, à savoir le licenciement qui en a résulté, les procédures judiciaires de contestation et leur impact financier, ainsi que la période de chômage et les sanctions de l’assurance chômage. Ces désagréments n’entrent pourtant pas dans le champ d'application de l'art. 54 CP, comme cela ressort de la jurisprudence précitée. Cette disposition n’était donc pas applicable, de sorte que le Ministère public n’était pas fondé à refuser d’entrer en matière pour des raisons d’opportunité (art. 8 CPP). Le Ministère public devra ainsi ouvrir une enquête pénale et instruire les éléments de fait allégués par les parties.</w:t>
      </w:r>
    </w:p>
    <w:p>
      <w:r>
        <w:rPr>
          <w:b/>
        </w:rPr>
        <w:t>E. 3</w:t>
      </w:r>
    </w:p>
    <w:p>
      <w:r>
        <w:t>Au vu de ce qui précède, le recours doit être admis et l’ordonnance attaquée annulée. Le dossier de la cause sera renvoyé au Ministère public de l’arrondissement de Lausanne pour qu’il procède dans le sens des considérants qui précèdent. Vu l’issue de la cause, les frais d’arrêt, par 770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Me Yero Diagne a allégué</w:t>
      </w:r>
    </w:p>
    <w:p>
      <w:r>
        <w:rPr>
          <w:b/>
        </w:rPr>
        <w:t>E. 4</w:t>
      </w:r>
    </w:p>
    <w:p>
      <w:r>
        <w:t>heures de travail d’avocat, ce qui est un peu excessif. Au vu du mémoire produit et de la nature de la cause, la durée d’activité nécessaire peut être estimée à 2,5 heures au tarif horaire de 300 fr., ce qui correspond à 750 fr., auxquels il convient d’ajouter des débours forfaitaires à concurrence de 2 % (art. 19 al. 2 TDC [tarif des dépens en matière civile du 23 novembre 2010 ; BLV 270.11.6], applicable par renvoi de l’art. 26a al. 6 TFIP), par 15 fr., plus un montant correspondant à la TVA, par 59 fr., de sorte que l’indemnité allouée s’élève à 824 fr. au total. Elle sera laissée à la charge de l’Etat, en l’absence de partie succombante (TF 6B_265/2016 du 1 er juin 2016 consid. 2.3 et 2.4 in limine ). Par ces motifs, la Chambre des recours pénale prononce : I. Le recours est admis. II. L’ordonnance du 14 décembre 2020 est annulée. III. Le dossier de la cause est renvoyé au Ministère public de l’arrondissement de Lausanne pour qu’il procède dans le sens des considérants. IV. Les frais d’arrêt, par 770 fr. (sept cent septante francs), sont laissés à la charge de l’Etat. V. Une indemnité de 824 fr. (huit cent vingt-quatre francs) est allouée à la recourante F.________ pour l’exercice raisonnable de ses droits dans la procédure de recours, à la charge de l’Etat. VI. L’arrêt est exécutoire. Le président :               La greffière : Du Le présent arrêt, dont la rédaction a été approuvée à huis clos, est notifié, par l'envoi d'une copie complète, à : - Me Yero Diagne, avocat (pour F.________), - S.________, - Ministère public central, et communiqué à : - M. le Procureur de l’arrondissement de Lausanne, -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