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321 vom 26. März 2021</w:t>
      </w:r>
    </w:p>
    <w:p>
      <w:r>
        <w:t>VD Tribunal cantonal, 2021-03-26, FR</w:t>
      </w:r>
    </w:p>
    <w:p>
      <w:r>
        <w:rPr>
          <w:b/>
        </w:rPr>
        <w:t xml:space="preserve">Quelle: </w:t>
      </w:r>
      <w:r>
        <w:t>https://mcp.opencaselaw.ch/entscheid/vd_findinfo_D_cision___2021___321</w:t>
      </w:r>
    </w:p>
    <w:p>
      <w:r>
        <w:t>FR: VD_FINDINFO Décision / 2021 / 321 du 26 mars 2021</w:t>
      </w:r>
    </w:p>
    <w:p>
      <w:r>
        <w:t>IT: VD_FINDINFO Décision / 2021 / 321 del 26 marzo 2021</w:t>
      </w:r>
    </w:p>
    <w:p>
      <w:pPr>
        <w:pStyle w:val="Heading2"/>
      </w:pPr>
      <w:r>
        <w:t>Regeste</w:t>
      </w:r>
    </w:p>
    <w:p>
      <w:r>
        <w:t>ADMISSION DE LA DEMANDE, ORDONNANCE DE SÉQUESTRE, SOUPÇON, SUPPRESSION{EN GÉNÉRAL} | 197 al. 1 let. b CPP (CH), 263 al. 1 let. c CPP (CH), 263 al. 1 let. d CPP (CH), 267 al. 1 CPP (CH)</w:t>
      </w:r>
    </w:p>
    <w:p>
      <w:pPr>
        <w:pStyle w:val="Heading2"/>
      </w:pPr>
      <w:r>
        <w:t>Erwägungen</w:t>
      </w:r>
    </w:p>
    <w:p>
      <w:r>
        <w:rPr>
          <w:b/>
        </w:rPr>
        <w:t>E. 1.1</w:t>
      </w:r>
    </w:p>
    <w:p>
      <w:r>
        <w:t>Aux termes de l’art. 393 al. 1 let. a CPP, le recours est recevable contre les décisions et actes de procédure de la police, du Ministère public et des autorités pénales compétentes en matière de contraventions. Une ordonnance de séquestre (art. 263 CPP), respectivement de refus de levée de séquestre, rendue par le Ministère public dans le cadre de la procédure préliminaire est ainsi susceptible de recours selon les art. 393 ss CPP (Moreillon/Parein-Reymond, Petit Commentaire du Code de procédure pénale, 2 e éd., Bâle 2016, n. 24 ad art. 263 CPP). Toute partie qui a un intérêt juridiquement protégé à l’annulation ou à la modification d’une décision a qualité pour recourir contre celle-ci (art. 382 al. 1 CPP).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(ATF 133 IV 278 consid. 1. 3 p. 282 ; ATF 128 IV 145 consid. 1a p. 148 ; TF 1B_354/2020 du 26 octobre 2020 consid. 4.1). Le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 BLV 173.01]).</w:t>
      </w:r>
    </w:p>
    <w:p>
      <w:r>
        <w:rPr>
          <w:b/>
        </w:rPr>
        <w:t>E. 1.2</w:t>
      </w:r>
    </w:p>
    <w:p>
      <w:r>
        <w:t>Interjeté dans le délai légal (art. 396 al. 1 CPP), par le titulaire de la relation bancaire séquestrée, qui a qualité pour recourir (art. 382 al. 1 CPP), et dans les formes prescrites (art. 385 al. 1 CPP), le recours est recevable.</w:t>
      </w:r>
    </w:p>
    <w:p>
      <w:r>
        <w:rPr>
          <w:b/>
        </w:rPr>
        <w:t>E. 2.1</w:t>
      </w:r>
    </w:p>
    <w:p>
      <w:r>
        <w:t>C.________ invoque une constatation incomplète et erronée des faits, ainsi qu’une violation de l’art. 263 al. 1 let. c et d CPP. Elle conteste en particulier l’existence de soupçons suffisants d’escroquerie au vu du contenu du rapport de la Brigade financière du 5 janvier 2021 et demande la levée du séquestre.</w:t>
      </w:r>
    </w:p>
    <w:p>
      <w:r>
        <w:rPr>
          <w:b/>
        </w:rPr>
        <w:t>E. 2.2.1</w:t>
      </w:r>
    </w:p>
    <w:p>
      <w:r>
        <w:t>Le séquestre prévu à l’art. 263 al. 1 let. c CPP consiste à placer sous mains de justice des objets ou des valeurs patrimoniales dans le but de les rendre à leur possesseur antérieur lorsque ceux-ci ne sont ni confisqués ni utilisés pour couvrir des créances et qu’ils ne sont pas attribués à des tiers par jugement (ATF 128 I 129, JdT 2005 IV 180). Ce n’est qu’au stade du jugement qu’interviendra la décision finale de restitution, à moins que les conditions de l’art. 267 al. 2 CPP ne soient remplies (Moreillon/Parein-Reymond, op. cit., n. 15 ad art. 263 CPP). Le séquestre prévu à l'art. 263 al. 1 let. d CPP consiste à placer sous mains de justice des biens en raison du danger qu'ils présentent pour la sécurité des personnes, la morale ou l'ordre public (art. 69 CP ou, en matière d'infractions routière, art. 90a LCR ; TF 1B_252/2014 du 3 novembre 2014 consid. 2.4), de leur origine ou de leur utilisation criminelle (art. 70 et 72 CP), pour autant que l'on puisse admettre, prima facie , qu'ils pourront être confisqués en application du droit fédéral (Julen Berthod in : Jeanneret et al. [éd.], Commentaire romand, Code de procédure pénale suisse, 2 e éd., Bâle 2019, n. 7 ad art. 263 CPP).</w:t>
      </w:r>
    </w:p>
    <w:p>
      <w:r>
        <w:rPr>
          <w:b/>
        </w:rPr>
        <w:t>E. 2.2.2</w:t>
      </w:r>
    </w:p>
    <w:p>
      <w:r>
        <w:t>En tant que mesure de contrainte au sens de l’art. 196 CPP, le séquestre suppose notamment, que des soupçons suffisants laissent présumer une infraction pénale (art. 197 al. 1 let. b CPP). Des mesures de contraintes ne sauraient être motivées par l’absence de preuves à décharge; au contraire, l’art. 197 al. 1 let. b CPP exige des charges suffisantes, c’est-à-dire la présence d’indices sérieux et concrets d’infraction pénale. Si le motif de séquestre disparaît, le Ministère public ou le tribunal lève la mesure et restitue les objets et valeurs patrimoniales à l’ayant droit (art. 267 al. 1 CPP). Le séquestre est une mesure provisoire qu’il convient de lever dès que les conditions de sa mise en œuvre ne sont plus réalisées. Tel sera notamment le cas si les charges contre le prévenu ne se sont pas confirmées (Moreillon/Parein-Reymond, op. cit., nn. 2 ss ad art. 267 CPP).</w:t>
      </w:r>
    </w:p>
    <w:p>
      <w:r>
        <w:rPr>
          <w:b/>
        </w:rPr>
        <w:t>E. 2.3</w:t>
      </w:r>
    </w:p>
    <w:p>
      <w:r>
        <w:t>En l’espèce, la Brigade financière a rendu un rapport le 5 janvier 2021 dans lequel elle conclut que les explications des prévenus, l’examen de l’extrait du compte bancaire de la société et les investigations policières subséquentes n’ont pas mis en évidence une utilisation des fonds issus de l’aide d’urgence contraire à l’Ordonnance fédérale du 20 mars 2020 sur les cautionnements solidaires liés au Covid-19 (RO 2020 p. 1'077). Cependant, l’on constate que le Ministère public ne mentionne pas ce rapport dans l’ordonnance contestée. Si la dénonciation du MROS et la mesure de séquestre étaient fondés dans un premier temps, le rapport mentionné amène des éléments qui ne peuvent être ignorés. Ainsi, la motivation de l’ordonnance entreprise, qui ne prend pas en considération ces éléments, se révèle insuffisante à ce stade. En effet, le Ministère public motive le maintien du séquestre principalement par le fait que « la question d’une éventuelle escroquerie se pose toujours », l’analyse en cours des documents transmis devant permettre, selon lui, de déterminer si les données figurant dans le contrat de prêt sont conformes à la vérité et si les fonds alloués ont été utilisés conformément aux engagements donnés dans le contrat de crédit. Ce faisant, la procureure justifie le séquestre par un soupçon d’un mensonge proféré par la prévenue lorsqu’elle avait indiqué son chiffre d’affaires à la banque créancière. Or, il n’existe plus, en l’état, d’indice d’un tel mensonge au dossier. En effet, le soupçon initial, qui n’a pas été corroboré par le rapport de la Brigade financière, ne suffit plus à justifier un séquestre. L’analyse en cours a toutes les apparences d’une mesure d’instruction exploratoire (« fishing expedition »), qui ne saurait en principe justifier une mesure de contrainte (cf. not. TF 1B_313/2020 et 1B_314/2020 du 4 novembre 2020 consid. 5.1). Partant, le séquestre est illicite et doit dès lors être levé sans délai.</w:t>
      </w:r>
    </w:p>
    <w:p>
      <w:r>
        <w:rPr>
          <w:b/>
        </w:rPr>
        <w:t>E. 3</w:t>
      </w:r>
    </w:p>
    <w:p>
      <w:r>
        <w:t>Il résulte de ce qui précède que le recours doit être admis et l'ordonnance attaquée réformée en ce sens que la requête de levée du séquestre est admise, et que le séquestre de la relation bancaire IBAN [...] (titulaire : C.________) ouverte auprès de la Banque Cantonale Vaudoise, ordonné le 8 février 2021, est levé avec effet immédiat. L’ordonnance est maintenue pour le surplus. Les frais de la procédure de recours, constitués de l’émolument d’arrêt, par 880 fr. (art. 20 al. 1 TFIP [tarif des frais de procédure et indemnités en matière pénale du 28 septembre 2010; BLV 312.03.1]), seront laissés à la charge de l’Etat (art. 423 al. 1 CPP). La recourante, qui obtient gain de cause et qui a procédé avec l’assistance d’un avocat de choix, a droit à une indemnité pour les dépenses occasionnées par l'exercice raisonnable de ses droits dans la procédure de recours. L’indemnité sera fixée à 900 fr. (3 heures à 300 fr. ; art. 26a al. 3 TFIP), montant auquel s’ajoutent des débours forfaitaires à concurrence de 2 % (art. 19 al. 2 TDC [tarif des dépens en matière civile du 23 novembre 2010 ; BLV 270.11.6], applicable par renvoi de l’art. 26a al. 6 TFIP), par 18 fr., ainsi que la TVA, par 70 fr. 70, soit 989 fr. au total en chiffres arrondis. Cette indemnité sera laissée à la charge de l’Etat. Par ces motifs, la Chambre des recours pénale prononce : I. Le recours est admis. II. L’ordonnance du 8 février 2021 est réformée comme il suit : I. admet la requête de levée du séquestre. II. dit que le séquestre de la relation bancaire IBAN [...] (titulaire :C.________) ouverte auprès de la Banque Cantonale Vaudoise, ordonné le 8 février 2021, est levé avec effet immédiat. L’ordonnance est maintenue pour le surplus. III. Les frais d’arrêt, par 880 fr. (huit cent huitante francs), sont laissés à la charge de l’Etat. IV. Une indemnité de 989 fr. (neuf cent huitante-neuf francs) est allouée à C.________ pour les dépenses occasionnées par la procédure de recours, à la charge de l’Etat. V. L’arrêt est exécutoire. Le président :               La greffière : Du Le présent arrêt, dont la rédaction a été approuvée à huis clos, est notifié, par l'envoi d'une copie complète, à : - Me Oana Stehle Halaucescu, avocate (pour C.________), - Ministère public central, et communiqué à : ‑ Mme la Procureure du Ministère public de l’arrondissement de La Côte, - Office fédéral de la police (FEDPOL), MROS (réf. CaseB-005242),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