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310 vom 14. Januar 2021</w:t>
      </w:r>
    </w:p>
    <w:p>
      <w:r>
        <w:t>VD Tribunal cantonal, 2021-01-14, FR</w:t>
      </w:r>
    </w:p>
    <w:p>
      <w:r>
        <w:rPr>
          <w:b/>
        </w:rPr>
        <w:t xml:space="preserve">Quelle: </w:t>
      </w:r>
      <w:r>
        <w:t>https://mcp.opencaselaw.ch/entscheid/vd_findinfo_D_cision___2021___310</w:t>
      </w:r>
    </w:p>
    <w:p>
      <w:r>
        <w:t>FR: VD_FINDINFO Décision / 2021 / 310 du 14 janvier 2021</w:t>
      </w:r>
    </w:p>
    <w:p>
      <w:r>
        <w:t>IT: VD_FINDINFO Décision / 2021 / 310 del 14 gennaio 2021</w:t>
      </w:r>
    </w:p>
    <w:p>
      <w:pPr>
        <w:pStyle w:val="Heading2"/>
      </w:pPr>
      <w:r>
        <w:t>Regeste</w:t>
      </w:r>
    </w:p>
    <w:p>
      <w:r>
        <w:t>VIOLATION DU SECRET DE FABRICATION OU COMMERCIAL, DIFFAMATION, PREUVE DE LA VÉRITÉ, RÉCUSATION, ADMISSION DE LA DEMANDE | 162 CP, 173 CP, 319 CPP (CH), 393 CPP (CH), 56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la récusation doit être demandée sans délai, dès que la partie a connaissance du motif de récusation, c'est-à-dire dans les six ou sept jours qui suivent la connaissance de la cause de récusation (TF 1B_576/2020 du 3 décembre 2020 consid. 2.1 ; TF 1B_420/2020 du 28 octobre 2020 consid. 3.1 et les réf. citées), sous peine de déchéance (ATF 140 I 271 consid. 8.4.3 et les arrêts cités).</w:t>
      </w:r>
    </w:p>
    <w:p>
      <w:r>
        <w:rPr>
          <w:b/>
        </w:rPr>
        <w:t>E. 1.2</w:t>
      </w:r>
    </w:p>
    <w:p>
      <w:r>
        <w:t>En l’espèce, la Chambre des recours pénale du Tribunal cantonal (art. 13 al. 1 LVCPP [loi d’introduction du Code de procédure pénale suisse du 19 mai 2009 ; BLV 312.01]) est compétente pour statuer sur les demandes de récusation déposées le 10 septembre 2020, dès lors qu’elles sont dirigées contre un magistrat de première instance. Pour le surplus, dans la mesure où les demandes de récusation ont été déposées ensuite de la réception de l’ordonnance de classement du 24 août 2020, elles ont été adressées à temps à l’autorité compétente, de sorte qu’elles sont recevables.</w:t>
      </w:r>
    </w:p>
    <w:p>
      <w:r>
        <w:rPr>
          <w:b/>
        </w:rPr>
        <w:t>E. 2.1</w:t>
      </w:r>
    </w:p>
    <w:p>
      <w:r>
        <w:t>Les requérants demandent la récusation du Procureur R.________, pour les motifs que celui-ci aurait réutilisé les termes diffamatoires de la dénonciation du prévenu pour le libérer de l’infraction contre l’honneur, qu’il aurait refusé de procéder aux mesures d’instruction requises, qu’il aurait préjugé de la cause instruite par l’institut Swissmedic et utilisé des termes choquants, violant ainsi son devoir de réserve.</w:t>
      </w:r>
    </w:p>
    <w:p>
      <w:r>
        <w:rPr>
          <w:b/>
        </w:rPr>
        <w:t>E. 2.2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RDAF 2016 I 306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 TF 1B_290/2020 et 1B_311/2020 du 4 août 2020 consid. 2.6).</w:t>
      </w:r>
    </w:p>
    <w:p>
      <w:r>
        <w:rPr>
          <w:b/>
        </w:rPr>
        <w:t>E. 2.3</w:t>
      </w:r>
    </w:p>
    <w:p>
      <w:r>
        <w:t>En l’espèce, il y a d’abord lieu de relever que, l’enquête en étant au stade de la clôture, il est normal que le procureur, dans sa motivation, prenne position sur les éléments constitutifs des infractions, pour trancher dans un sens ou dans l’autre. Ensuite, lorsqu’un justiciable est insatisfait d’une décision ou d’une procédure judiciaire, il peut emprunter les voies de recours prévues à cet effet, la procédure de récusation n’ayant pas vocation à vérifier la légalité ou l’opportunité des actes du magistrat. Or, dans leurs demandes de récusation, les requérants se bornent en réalité à contester l’ordonnance de classement. Ainsi, en l'absence de circonstances objectives qui feraient redouter une activité partiale du procureur, aucun motif de récusation, au sens de l'art. 56 CPP n'est réalisé en l'espèce. Par conséquent, les demandes de récusation déposées à l’encontre du Procureur R.________ doivent être rejetées. III. Recours de V.________SA</w:t>
      </w:r>
    </w:p>
    <w:p>
      <w:r>
        <w:rPr>
          <w:b/>
        </w:rPr>
        <w:t>E. 3</w:t>
      </w:r>
    </w:p>
    <w:p>
      <w:r>
        <w:t>Interjeté en temps utile (art. 322 al. 2 et 396 al. 1 CPP), contre une ordonnance de classement rendue par le Ministère public (art. 393 al. 1 let. a CPP), par la partie plaignante qui a qualité pour recourir (art. 382 al. 1 CPP) et dans les formes prescrites (art. 385 al. 1 CPP), le recours est recevable.</w:t>
      </w:r>
    </w:p>
    <w:p>
      <w:r>
        <w:rPr>
          <w:b/>
        </w:rPr>
        <w:t>E. 3.1</w:t>
      </w:r>
    </w:p>
    <w:p>
      <w:r>
        <w:t>; TF 6B_224/2016 du 3 janvier 2017 consid. 2.2). Pour apprécier si une déclaration est attentatoire à l'honneur, il faut procéder à une interprétation objective selon le sens que le destinataire non prévenu devait, dans les circonstances d'espèce, lui attribuer (ATF 145 IV 462 consid. 4.2.3 ; 137 IV 313 consid. 2.1.3). Les mêmes termes n'ont donc pas nécessairement la même portée suivant le contexte dans lequel ils sont employés (ATF 118 IV 248 consid. 2b; 105 IV 196 consid. 2). Selon la jurisprudence, un texte doit être analysé non seulement en fonction des expressions utilisées, prises séparément, mais aussi selon le sens général qui se dégage du texte dans son ensemble (ATF 137 IV 313 consid. 2.1.3 p. 316). Déterminer le contenu d'un message relève des constatations de fait. Le sens qu'un destinataire non prévenu confère aux expressions et images utilisées constitue en revanche une question de droit (ATF 137 IV 313 consid. 2.1.3 p. 316).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p. 315). La jurisprudence a récemment confirmé la compétence du Ministère public pour rendre, selon les circonstances, une ordonnance de non-entrée en matière, de classement ou une ordonnance pénale lorsqu'une infraction de diffamation (art. 173 CP)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du 15 janvier 2020 consid. 3.1 et les références citées).</w:t>
      </w:r>
    </w:p>
    <w:p>
      <w:r>
        <w:rPr>
          <w:b/>
        </w:rPr>
        <w:t>E. 4</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1057,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 ATF 138 IV 86 consid. 4.1.1 ; ATF 138 IV 186 consid. 4.1 ; ATF 137 IV 219 consid. 7).</w:t>
      </w:r>
    </w:p>
    <w:p>
      <w:r>
        <w:rPr>
          <w:b/>
        </w:rPr>
        <w:t>E. 5.1</w:t>
      </w:r>
    </w:p>
    <w:p>
      <w:r>
        <w:t>La recourante invoque une mauvaise application des art. 162 et 273 CP en ce sens que les secrets protégés par ces dispositions auraient bien été violés par le prévenu.</w:t>
      </w:r>
    </w:p>
    <w:p>
      <w:r>
        <w:rPr>
          <w:b/>
        </w:rPr>
        <w:t>E. 5.2</w:t>
      </w:r>
    </w:p>
    <w:p>
      <w:r>
        <w:t>Selon l’art. 162 CP, se rend coupable de violation du secret de fabrication ou du secret commercial celui qui aura révélé un secret de fabrication ou un secret commercial qu’il était tenu de garder en vertu d’une obligation légale ou contractuelle (al. 1) ou celui qui aura utilisé cette révélation à son profit ou à celui d’un tiers (al. 2). Se rend coupable de service de renseignements économiques au sens de l’art. 273 CP, celui qui aura cherché à découvrir un secret de fabrication ou d’affaires pour le rendre accessible à un organisme officiel ou privé étranger, ou à une entreprise privée étrangère, ou à leurs agents (al. 1), ou celui qui aura rendu accessible un secret de fabrication ou d’affaires à un organisme officiel ou privé étranger, ou à une entreprise privée étrangère, ou à leurs agents (al. 2). Les art. 162 et 273 CP font mention de secret de fabrication ou de secret commercial. La notion de secret commercial comprend les informations ayant une incidence sur le résultat commercial, notamment les connaissances relatives aux fournisseurs, à l'organisation, au calcul des prix, à la publicité ou à la production (cf. la jurisprudence citée in Dupuis et alii, Petit Commentaire du Code pénal, 2 e éd., Bâle 2017, n. 9 ad art. 162 CP). L'information ne doit pas être généralement connue, ni librement accessible (Fischer/Richa, in Macaluso et alii [éd.], Commentaire Romand, Code pénal II, Bâle 2017 , n.</w:t>
      </w:r>
    </w:p>
    <w:p>
      <w:r>
        <w:rPr>
          <w:b/>
        </w:rPr>
        <w:t>E. 5.3</w:t>
      </w:r>
    </w:p>
    <w:p>
      <w:r>
        <w:t>En l’espèce, on peut d’emblée relever que la recourante ne conteste pas le classement de la procédure concernant les autres infractions mentionnées dans la plainte. En outre, le procureur a retenu qu'il n'y avait infraction ni à l'art. 162 CP, ni à l'art. 273 CP, dès lors que les secrets de fabrication étaient connus, ou à tout le moins disponibles sur Internet. Cette connaissance des secrets de fabrication n'est plus contestée dans le recours. La recourante évoque en revanche des échanges qui paraissent tomber sous le coup du secret commercial : des changements relatifs aux fournisseurs de composants, des informations concernant les relations entre la plaignante et les organismes de certification et des informations concernant la situation financière de la société. Ces éléments sont effectivement susceptibles d'être protégés par la notion de secret, secret dont le prévenu avait été dûment informé (TF 6B_496/2007 du 9 avril 2008 consid. 5). Il est vrai que le Ministère public n'a pas examiné la question sous l'angle du secret commercial, mais seulement du secret de fabrication. Or, il y a eu un échange fourni de messages entre le prévenu et la société israélienne concurrente. La recourante fait d'ailleurs grand cas de l'appréciation du procureur lors de l'audition du prévenu, qui posait une question au prévenu en page 3 en mentionnant le grand nombre de courriels, "dont le contenu relève du droit pénal". A ce stade de l'enquête, il paraît effectivement problématique que cet aspect particulier, soit le secret commercial, n'ait pas été examiné. Il est d'ailleurs impossible pour la Cour de céans d'examiner ces courriels, en anglais, et dont on ignore si leur portée était ou non importante. La violation du secret de fabrication ou du secret commercial pourrait ainsi être réalisée, mais il faudrait examiner en détail les informations, ce que seul un complément d'instruction pourrait permettre. Il en va de même de l'infraction de service de renseignements économiques. Des auditions et des explications sur les courriels et leur portée paraissent indispensables. Sur ce point, le recours de V.________SA doit être admis et l’ordonnance de classement annulée, sans qu'il soit nécessaire d'examiner le grief de la recourante relatif à la mise à sa charge d’une partie des frais de procédure. IV. Recours d’O.________ 6. Interjeté en temps utile (art. 322 al. 2 et 396 al. 1 CPP), contre une ordonnance de classement rendue par le Ministère public (art. 393 al. 1 let. a CPP), par la partie plaignante qui a qualité pour recourir (art. 382 al. 1 CPP) et dans les formes prescrites (art. 385 al. 1 CPP), le recours est recevable.</w:t>
      </w:r>
    </w:p>
    <w:p>
      <w:r>
        <w:rPr>
          <w:b/>
        </w:rPr>
        <w:t>E. 7</w:t>
      </w:r>
    </w:p>
    <w:p>
      <w:r>
        <w:t>Les principes relatifs à l’art. 319 CPP ont déjà été rappelés ci-dessus (cf. consid. 4).</w:t>
      </w:r>
    </w:p>
    <w:p>
      <w:r>
        <w:rPr>
          <w:b/>
        </w:rPr>
        <w:t>E. 8.1</w:t>
      </w:r>
    </w:p>
    <w:p>
      <w:r>
        <w:t>Le recourant invoque une violation de l’art. 173 CP. Il soutient que le prévenu n’aurait pas apporté la preuve que le recourant avait mis en danger la santé de l’être humain en commercialisant des dispositifs médicaux non conformes, ces propos apparaissant comme des représailles à l’égard du recourant, dès lors que le prévenu a également tenu les mêmes allégations auprès de la société concurrente A.________Ltd. En outre, le prévenu était en charge des affaires réglementaires au moment des faits reprochés au recourant, de sorte qu’il aurait dû faire valoir les violations à la LPTh en 2016, soit au moment de ses constatations. Enfin, aucune mesure d’instruction n’aurait été mise en œuvre sur cette question, le procureur se contentant du dossier de Swissmedic et de l’audition du prévenu.</w:t>
      </w:r>
    </w:p>
    <w:p>
      <w:r>
        <w:rPr>
          <w:b/>
        </w:rPr>
        <w:t>E. 8.2.1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ch.1 CP). L'honneur protégé par le droit pénal est conçu de façon générale comme un droit au respect, qui est lésé par toute assertion propre à exposer la personne visée au mépris en sa qualité d'homme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commet une atteinte à l'honneur, même dans ces domaines, celui qui, en s’adressant à un tiers, accuse une personne ou jette sur elle le soupçon d’avoir commis un crime ou un délit intentionnel (ATF 145 IV 462 consid. 4.2.2 ; ATF 118 IV 248 consid. 2b ; TF 6B_226/2019 du 29 mars 2019 consid. 3.3; TF 6B_676/2017 du 15 décembre 2017 consid.</w:t>
      </w:r>
    </w:p>
    <w:p>
      <w:r>
        <w:rPr>
          <w:b/>
        </w:rPr>
        <w:t>E. 8.2.2</w:t>
      </w:r>
    </w:p>
    <w:p>
      <w:r>
        <w:t>La loi prévoit la possibilité pour une personne accusée de diffamation d'apporter des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 citées). La preuve de la bonne foi est apportée lorsque le prévenu démontre qu’il a cru à la véracité de ce qu’il disait, d’une part, et qu’il avait des raisons sérieuses de le croire, après avoir après avoir accompli ce qu’on pouvait attendre de lui pour en contrôler l’exactitude, d’autre part (ATF 124 IV 149 consid. 3b; TF 6B_1047/2019 du 15 janvier 2020 consid. 3.1). Il faut se placer exclusivement sur les éléments dont il avait connaissance à l’époque de sa déclaration (ibidem). L'admission à la preuve libératoire constitue la règle. Elle ne peut être refusée que si deux conditions sont réunies cumulativement : l'auteur a agi principalement dans le but de dire du mal d'autrui et il s'est exprimé sans motif suffisant (art. 173 ch. 3 CP ; TF 6B_1268/2019 précité, consid. 1.2).</w:t>
      </w:r>
    </w:p>
    <w:p>
      <w:r>
        <w:rPr>
          <w:b/>
        </w:rPr>
        <w:t>E. 8.3</w:t>
      </w:r>
    </w:p>
    <w:p>
      <w:r>
        <w:t>En l’espèce, comme l’a retenu le procureur, les propos tenus par le prévenu, en tant qu’ils impliquent directement le recourant pour violations à la LPTh, sont attentatoires à l’honneur de ce dernier. Certes, la dénonciation du prévenu auprès de Swissmedic a été prise au sérieux par cet organisme, puisque celui-ci a ouvert une enquête pénale administrative. En outre, plusieurs autres employés de V.________SA ont allégué les dangers de certains produits mis sur le marché par cette entreprise et ont confirmé que le recourant n’était pas ou ne voulait pas être informé de certains points. Toutefois, dans son dossier, Swissmedic n’évoque rien quant à la suite des opérations. On ignore en outre ce que cet institut prend ou non au sérieux. En d’autres termes, il n’est pas exclu que le prévenu puisse se prévaloir de la preuve de la bonne foi ou de la vérité – le fait qu’il n’ait pas fait valoir lesdites violations à la LPTh en 2016, lorsqu’il était en charge de certaines affaires réglementaires scientifique auprès de V.________SA, n’est pas déterminant –, mais encore faut-il que l’instruction de la cause permette de motiver une telle décision en s’appuyant sur les passages précis des auditions et, surtout, sur les éléments concrets qui ont décidé Swissmedic à ouvrir une enquête. Il appartiendra au procureur d’instruire cette question, les généralités évoquées ne suffisant pas, d’autant moins qu’aucune audition des parties n’a été faite spécifiquement sur ces questions. Si l’enquête administrative n’est pas terminée, il appartiendra au procureur d’apprécier de manière anticipée la consistance des accusations et leurs conséquences sur la preuve de la bonne foi et de la vérité. Le recours d’O.________ doit donc être admis sur ce point et l’ordonnance de classement annulée, sans qu'il soit nécessaire d'examiner le grief du recourant relatif à la mise à sa charge d’une partie des frais de procédure. V. Conclusion En définitive, les demandes de récusation du Procureur R.________ doivent être rejetées. Le recours de V.________SA et celui d’O.________ doivent être admis, l’ordonnance attaquée annulée et le dossier de la cause renvoyé au Ministère public de l’arrondissement de Lausanne pour complément d’instruction dans le sens des considérants. Vu l’issue de la cause, les frais de la procédure de recours et de récusation, constitués en l’espèce du seul émolument d’arrêt (art. 422 al. 1 CPP [Code de procédure pénale suisse du 5 octobre 2007 ; RS 312.0]), par 2’420 fr. (art. 20 al. 1 TFIP [Tarif des frais de procédure et indemnités en matière pénale du 28 septembre 2010 ; BLV 312.03.1]), seront mis par un sixième, soit par 403 fr. 30, montant arrondi à 404 fr., à la charge de V.________SA, et par un sixième, soit par 403 fr. 30, montant arrondi à 404 fr., à la charge d’O.________, qui succombent quant à la procédure de récusation (art. 59 al. 4 CPP), et par deux tiers, soit par 1'613 fr. 30, montant arrondi à 1'614 fr., à la charge de l’intimé, qui a conclu au rejet des recours et qui, partant, succombe (art. 428 CPP). V.________SA, qui obtient partiellement gain de cause et qui a procédé avec l’assistance d’un mandataire professionnel, a droit à une indemnité réduite d’un tiers pour les dépenses occasionnées par l’exercice raisonnable de ses droits pour la procédure de recours (art. 433 al. 1 let. a CPP, applicable par renvoi de l’art. 436 al. 1 CPP), à la charge de l’intimé. Au vu du mémoire de recours produit et de la nature de l’affaire, la pleine indemnité sera fixée à 1’500 fr. (5 heures d’activité au tarif horaire de 300 fr., cf. art. 26a al. 3 TFIP), plus des débours par 30 fr., et un montant correspondant à la TVA, par 117 fr. 80, soit à 1'647 fr. 80 au total, montant arrondi à 1’648 francs. Vu le parallélisme entre le sort des frais et celui des indemnités (ATF 137 IV 352 consid. 2.4.2, JdT 2012 IV 255), l'indemnité sera réduite d’un tiers, soit à 549 fr. 30, montant arrondi à 550 francs. O.________, qui obtient partiellement gain de cause et qui a procédé avec l’assistance d’un mandataire professionnel, a droit à une indemnité réduite d’un tiers pour les dépenses occasionnées par l’exercice raisonnable de ses droits pour la procédure de recours (art. 433 al. 1 let. a CPP, applicable par renvoi de l’art. 436 al. 1 CPP), à la charge de l’intimé. Au vu du mémoire de recours produit et de la nature de l’affaire, la pleine indemnité sera fixée à 900 fr. (3 heures d’activité au tarif horaire de 300 fr., cf. art. 26a al. 3 TFIP), plus des débours par 18 fr., et un montant correspondant à la TVA, par 70 fr. 70, soit à 988 fr. 70 au total, montant arrondi à 989 francs. Vu le parallélisme entre le sort des frais et celui des indemnités (ATF 137 IV 352 consid. 2.4.2, JdT 2012 IV 255), l'indemnité sera réduite d’un tiers, soit de 329 fr. 60, montant arrondi à 330 francs. Par ces motifs, la Chambre des recours pénale prononce : I. Les demandes de récusation du Procureur R.________ sont rejetées. II. Les recours de V.________SA et d’O.________ sont admis. III. L’ordonnance du 24 août 2020 est annulée. IV. Le dossier de la cause est renvoyé au Ministère public de l’arrondissement de Lausanne pour qu’il procède dans le sens des considérants. V. Les frais d’arrêt, par 2'420 fr. (deux mille quatre cent vingt francs), seront mis par un sixième, soit par 404 fr. (quatre cent quatre francs), à la charge de V.________SA, par un sixième, soit par 404 fr. (quatre cent quatre francs), à la charge d’O.________ et par deux tiers, soit par 1'614 fr. (mille six cent quatorze francs), à la charge de T.________. VI. Une indemnité réduite de 1’098 fr. (mille nonante-huit francs) est allouée à V.________SA pour la procédure de recours, à la charge de T.________. VII. Une indemnité réduite de 659 fr. (six cent cinquante-neuf francs) est allouée à O.________ pour la procédure de recours, à la charge de T.________. VIII. L’arrêt est exécutoire. Le président :               La greffière : Du Le présent arrêt, dont la rédaction a été approuvée à huis clos, est notifié, par l'envoi d'une copie complète, à : - Me Gilles Aebischer, avocat (pour V.________SA et O.________), - Me Stefano Fabbro, avocat (pour T.________), - Ministère public central ;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