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303 vom 1. April 2021</w:t>
      </w:r>
    </w:p>
    <w:p>
      <w:r>
        <w:t>VD Tribunal cantonal, 2021-04-01, FR</w:t>
      </w:r>
    </w:p>
    <w:p>
      <w:r>
        <w:rPr>
          <w:b/>
        </w:rPr>
        <w:t xml:space="preserve">Quelle: </w:t>
      </w:r>
      <w:r>
        <w:t>https://mcp.opencaselaw.ch/entscheid/vd_findinfo_D_cision___2021___303</w:t>
      </w:r>
    </w:p>
    <w:p>
      <w:r>
        <w:t>FR: VD_FINDINFO Décision / 2021 / 303 du 1 avril 2021</w:t>
      </w:r>
    </w:p>
    <w:p>
      <w:r>
        <w:t>IT: VD_FINDINFO Décision / 2021 / 303 del 1 aprile 2021</w:t>
      </w:r>
    </w:p>
    <w:p>
      <w:pPr>
        <w:pStyle w:val="Heading2"/>
      </w:pPr>
      <w:r>
        <w:t>Regeste</w:t>
      </w:r>
    </w:p>
    <w:p>
      <w:r>
        <w:t>OPPOSITION TARDIVE, DÉLAI DE GARDE, REJET DE LA DEMANDE, ORDONNANCE PÉNALE, CIRCULATION ROUTIÈRE{DROIT DE LA CIRCULATION ROUTIÈRE}, DROIT D'ÊTRE ENTENDU | 107 CPP (CH), 354 CPP (CH), 356 CPP (CH), 85 CPP (CH)</w:t>
      </w:r>
    </w:p>
    <w:p>
      <w:pPr>
        <w:pStyle w:val="Heading2"/>
      </w:pPr>
      <w:r>
        <w:t>Erwägungen</w:t>
      </w:r>
    </w:p>
    <w:p>
      <w:r>
        <w:rPr>
          <w:b/>
        </w:rPr>
        <w:t>E. 1.1</w:t>
      </w:r>
    </w:p>
    <w:p>
      <w:r>
        <w:t>et les références citées).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Ainsi,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(ATF 141 II 429 précité ; TF 6B_1336/2017 précité ; TF 6B_754/2017 du 10 octobre 2017 consid. 2).</w:t>
      </w:r>
    </w:p>
    <w:p>
      <w:r>
        <w:rPr>
          <w:b/>
        </w:rPr>
        <w:t>E. 1.2</w:t>
      </w:r>
    </w:p>
    <w:p>
      <w:r>
        <w:t>Interjeté en temps utile devant l’autorité compétente par le prévenu qui a qualité pour recourir (art. 382 al. 1 CPP) et dans les formes prescrites (art. 385 al. 1 CPP), le recours est recevable.</w:t>
      </w:r>
    </w:p>
    <w:p>
      <w:r>
        <w:rPr>
          <w:b/>
        </w:rPr>
        <w:t>E. 2.1</w:t>
      </w:r>
    </w:p>
    <w:p>
      <w:r>
        <w:t>et l'arrêt cité ; CREP 13 novembre 2019/914 consid. 2.2.1).</w:t>
      </w:r>
    </w:p>
    <w:p>
      <w:r>
        <w:rPr>
          <w:b/>
        </w:rPr>
        <w:t>E. 2.2</w:t>
      </w:r>
    </w:p>
    <w:p>
      <w:r>
        <w:t>Le droit d'être entendu, tel qu'il est garanti par l'art. 29 al. 2 Cst. (Constitution fédérale de la Confédération suisse du 18 avril 1999, RS 101) et, en procédure pénale, par l'art. 107 CPP, comprend notamment pour le justiciable le droit d'obtenir l'administration des preuves pertinentes et valablement offertes, lorsque cela est de nature à influer sur la décision à rendre (ATF 142 II 218 consid. 2.3 ; ATF 140 I 285 consid. 6.3.1). Le droit d’être entendu confère également à toute personne le droit de s'expliquer avant qu'une décision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(ATF 142 II 218 précité ; ATF 140 I 285 précité ; TF 6B_572/2018 du 1 er octobre 2018 consid. 2.1). Le droit d'être entendu est une garantie constitutionnelle de caractère formel, dont la violation doit entraîner l'annulation de la décision, indépendamment des chances de succès du recours sur le fond (ATF 137 I 195 consid. 2.2 ; ATF 135 I 187 consid. 2.2). Selon la jurisprudence, la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pas particulièrement grave aux droits procéduraux de la partie lésée (ATF 142 II 218 consid. 2.8.1 ; TF 6B_975/2017 du 27 juillet 2018 consid. 4.2).</w:t>
      </w:r>
    </w:p>
    <w:p>
      <w:r>
        <w:rPr>
          <w:b/>
        </w:rPr>
        <w:t>E. 2.3</w:t>
      </w:r>
    </w:p>
    <w:p>
      <w:r>
        <w:t>En l'espèce, le Tribunal de police de l'arrondissement de Lausanne n'a certes pas communiqué au recourant le courrier du procureur du 4 février 2021. Toutefois, le recourant ne peut se prévaloir de sa bonne foi, dès lors qu’il avait connaissance de ce courrier, le procureur lui en ayant envoyé une copie (P. 14). En outre, le procureur avait indiqué qu’il allait transmettre le dossier au tribunal pour qu’il tranche la question de la tardiveté de l’opposition (P. 13). Le recourant, assisté d’un avocat, a donc disposé du temps nécessaire pour, le cas échéant, contester ce point, la décision du Tribunal de police de l'arrondissement de Lausanne étant intervenue le 15 février 2021 et notifiée le 23 février 2021. Enfin, il avait pu consulter le dossier les 20 et 21 janvier 2021. Il n’y a donc pas de violation du droit d’être entendu. S’il y avait eu une telle violation, elle serait réparée dans le cadre de la présente procédure. Le moyen doit être rejeté.</w:t>
      </w:r>
    </w:p>
    <w:p>
      <w:r>
        <w:rPr>
          <w:b/>
        </w:rPr>
        <w:t>E. 3.1</w:t>
      </w:r>
    </w:p>
    <w:p>
      <w:r>
        <w:t>Le recourant soutient que le Tribunal de police aurait dû tenir une audience pour statuer sur la validité de l’opposition, en se fondant sur l’art. 356 al. 6 CPP a contrario.</w:t>
      </w:r>
    </w:p>
    <w:p>
      <w:r>
        <w:rPr>
          <w:b/>
        </w:rPr>
        <w:t>E. 3.2.1</w:t>
      </w:r>
    </w:p>
    <w:p>
      <w:r>
        <w:t>La direction de la procédure doit examiner préalablement si un jugement au fond peut être rendu (art. 329 CPP). Ainsi, le but de l’examen préliminaire de l’acte d’accusation est d’éviter qu’il soit tenu des débats inutiles, ce qui contreviendrait au principe de célérité et d’économie de la procédure (Moreillon/Parein-Reymond, op. cit., n. 2 ad art. 329). Ce n’est que lorsqu’il y a lieu d’entrer en matière sur l’accusation que la direction de la procédure fixe des débats (art. 330 al. 1 CPP).</w:t>
      </w:r>
    </w:p>
    <w:p>
      <w:r>
        <w:rPr>
          <w:b/>
        </w:rPr>
        <w:t>E. 3.2.2</w:t>
      </w:r>
    </w:p>
    <w:p>
      <w:r>
        <w:t>Si l’opposition n’est pas valable parce que formulée hors délai, le tribunal constate l’irrecevabilité de cette dernière. Celle-ci doit être constatée dans une décision motivée, susceptible de recours au sens de l’art. 393 al. 1 let. b CPP (Moreillon/Parein-Reymond, Petit Commentaire, Code de procédure pénale, 2 e éd., Bâle 2016, n. 8 ad art. 356 et les références citées).</w:t>
      </w:r>
    </w:p>
    <w:p>
      <w:r>
        <w:rPr>
          <w:b/>
        </w:rPr>
        <w:t>E. 3.2.3</w:t>
      </w:r>
    </w:p>
    <w:p>
      <w:r>
        <w:t>A teneur de l’art. 356 al. 6 CPP, si l'opposition ne porte que sur les frais et les indemnités ou d'autres conséquences accessoires, le tribunal statue par écrit, à moins que l'opposant ne demande expressément des débats. Une telle procédure écrite est analogue à celle qui est fondée sur l’art. 390 CPP, qui prévoit la procédure écrite en matière de recours (Schmid/Jositsch, Schweizerische Strafprozessordnung, Praxiskommentar, 3 e éd., Zurich/Saint-Gall 2018, n. 9 ad art. 356 CPP).</w:t>
      </w:r>
    </w:p>
    <w:p>
      <w:r>
        <w:rPr>
          <w:b/>
        </w:rPr>
        <w:t>E. 3.3</w:t>
      </w:r>
    </w:p>
    <w:p>
      <w:r>
        <w:t>En l'occurrence, la question des frais et indemnités de l’art. 356 al. 6 CPP, même si elle est accessoire, relève du fond. Or, le caractère tardif ou non de l’opposition à une ordonnance pénale est une question de recevabilité. Si l’opposition n’est pas valable parce que formulée hors délai, le tribunal constate l’irrecevabilité de cette dernière. En l’espèce, l’opposition étant tardive, ce que le recourant ne conteste d’ailleurs pas, pas plus qu’il n’a requis de restitution de délai auprès du procureur, le Tribunal de police ne pouvait pas entrer en matière sur le fond, de sorte qu’une audience n’était pas nécessaire. Il n’y a donc pas de violation de l’art. 356 CPP. Le moyen doit donc être rejeté.</w:t>
      </w:r>
    </w:p>
    <w:p>
      <w:r>
        <w:rPr>
          <w:b/>
        </w:rPr>
        <w:t>E. 4.1</w:t>
      </w:r>
    </w:p>
    <w:p>
      <w:r>
        <w:t>Le recourant met en cause la validité d'une condamnation à une peine privative de liberté ferme de trois mois, sans qu’il n'ait jamais été entendu par un magistrat, en se fondant sur les critiques que la Cour européenne des droits de l’homme aurait formulées à l'encontre de la procédure de l’ordonnance pénale suisse eu égard aux peines pécuniaires.</w:t>
      </w:r>
    </w:p>
    <w:p>
      <w:r>
        <w:rPr>
          <w:b/>
        </w:rPr>
        <w:t>E. 4.2</w:t>
      </w:r>
    </w:p>
    <w:p>
      <w:r>
        <w:t>Le Tribunal fédéral retient notamment que la validité d'une ordonnance pénale au regard des droits garantis par l'art. 6 CEDH (Convention de sauvegarde des droits de l’homme et des libertés fondamentales du 4 novembre 1950 ; RS 0.101) est admise dans la mesure où, par une simple opposition qui n'a pas besoin d'être motivée (art. 354 al. 2 CPP), le prévenu condamné peut saisir un tribunal offrant les garanties de l'art. 6 CEDH (cf. arrêt de la CourEDH Belilos c. Suisse du 29 avril 1988, par. 68; ATF 124 IV 234 consid. 3c p. 238/239; TF 6B_723/2020 du 2 septembre 2020 consid. 1.3.3 ; TF 6B_281/2012 du 9 octobre 2012 consid. 2). Cette jurisprudence s'applique également aux autres droits invoqués par l’intéressé. Ainsi, le fait qu’il n'ait pas pu avoir connaissance de son dossier avant l'établissement de l'ordonnance pénale ou n'ait pu être entendu par le ministère public, ne viole pas les droits invoqués dans la mesure où il pouvait, sur simple opposition, provoquer l’examen de ces droits dans une procédure les respectant. On ne saurait voir là une cause de nullité de l'ordonnance pénale (TF 6B_723/2020 du 2 septembre 2020 consid. 1.3.3 ;TF 6B_314/2012 du 13 février 2013 consid. 2.2.2).</w:t>
      </w:r>
    </w:p>
    <w:p>
      <w:r>
        <w:rPr>
          <w:b/>
        </w:rPr>
        <w:t>E. 4.3</w:t>
      </w:r>
    </w:p>
    <w:p>
      <w:r>
        <w:t>En l’espèce, la procédure de l’ordonnance pénale prévue par le Code de procédure pénale a été respectée. La nullité absolue d’une ordonnance pénale ne saurait être retenue du simple fait que le prévenu a été condamné sans avoir pu être entendu sur les faits et sur le droit. En effet la procédure d’opposition est créée de telle manière que le prévenu garde l’entier des garanties au sens de l’art. 6 CEDH. De plus, en cas d’opposition, même tardive, la jurisprudence du Tribunal fédéral est si sévère que son application permet de contrôler que la notification a bien eu lieu dans les formes requises, mais aussi que c’est cette simple opposition dès l’ordonnance portée à la connaissance du prévenu qui lui permet une constatation de la caducité de l’ordonnance pénale. Aller dans le sens du recourant reviendrait en réalité à permettre à tout prévenu condamné par ordonnance pénale d’invoquer la nullité de l’ordonnance en tout temps du simple fait qu’il n’aurait pas été valablement entendu, mais n’aurait pas réagi immédiatement mais plusieurs mois plus tard. Cela irait à l’encontre de l’arrêt précité du 2 septembre 2020 (CREP 11 décembre 2019/993 consid. 6.3).</w:t>
      </w:r>
    </w:p>
    <w:p>
      <w:r>
        <w:rPr>
          <w:b/>
        </w:rPr>
        <w:t>E. 5.1</w:t>
      </w:r>
    </w:p>
    <w:p>
      <w:r>
        <w:t>X.________ soutient que le procureur aurait dû réagir à l'avis de la Poste du 22 décembre 2020 informant de la prolongation du délai de garde postale.</w:t>
      </w:r>
    </w:p>
    <w:p>
      <w:r>
        <w:rPr>
          <w:b/>
        </w:rPr>
        <w:t>E. 5.2</w:t>
      </w:r>
    </w:p>
    <w:p>
      <w:r>
        <w:t>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(TF 6B_723/2020 du 2 septembre 2020 consid. 1.1.1 ; TF 6B_934/2018 du 9 novembre 2018 consid. 2.1 ; TF 6B_233/2017 du 12 décembre 2017 consid. 2.1 ; TF 6B_1032/2015 du 25 mai 2016 consid. 1.1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w:t>
      </w:r>
    </w:p>
    <w:p>
      <w:r>
        <w:rPr>
          <w:b/>
        </w:rPr>
        <w:t>E. 5.3</w:t>
      </w:r>
    </w:p>
    <w:p>
      <w:r>
        <w:t>En l’espèce, le procureur n’avait pas à réagir à cet avis dès lors que la notification était régulière, que la prolongation du délai de garde était le fait du recourant et que cette prolongation n’empêche pas de retirer un pli dans le délai de garde légal. Le moyen doit être rejeté.</w:t>
      </w:r>
    </w:p>
    <w:p>
      <w:r>
        <w:rPr>
          <w:b/>
        </w:rPr>
        <w:t>E. 6.1</w:t>
      </w:r>
    </w:p>
    <w:p>
      <w:r>
        <w:t>Le recourant fait valoir que la théorie de la notification fictive au sens de l'art. 85 al. 4 let. a CPP ne saurait trouver application en l’espèce, dès lors qu'il était « en grave état d'ébriété » (taux d’alcoolémie potentiel de 2,71 g ‰, cf. P. 8) lors de son interpellation par la police à l'occasion de laquelle il aurait été « prétendument » informé qu'une suite pénale aurait été donnée à son affaire, selon le prononcé querellé. Il aurait été incapable de discernement au moment de son interrogatoire et son taux d'alcoolémie aurait imposé la présence d'un avocat.</w:t>
      </w:r>
    </w:p>
    <w:p>
      <w:r>
        <w:rPr>
          <w:b/>
        </w:rPr>
        <w:t>E. 6.2</w:t>
      </w:r>
    </w:p>
    <w:p>
      <w:r>
        <w:t>Aux termes de l’art. 130 CPP, le prévenu doit avoir un défenseur notamment lorsqu’en raison de son état physique ou psychique ou pour d’autres motifs, il ne peut pas suffisamment défendre ses intérêts dans la procédure et que ses représentants légaux ne sont pas en mesure de le faire (let. c).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(ATF 143 I 164 consid. 2.4.4 ; TF 6B_342/2018 du 6 février 2019 consid.</w:t>
      </w:r>
    </w:p>
    <w:p>
      <w:r>
        <w:rPr>
          <w:b/>
        </w:rPr>
        <w:t>E. 6.3</w:t>
      </w:r>
    </w:p>
    <w:p>
      <w:r>
        <w:t>En l'espèce, on ne saurait retenir une incapacité de procéder dans le cas de X.________. C’est à juste titre que le procureur a retenu que le prévenu ne se trouvait pas dans un cas de défense obligatoire lors de son audition du 23 novembre 2020, son taux d’alcoolémie pouvant être de 1,8 g ‰ dans le cas le plus défavorable (P. 13). Sa responsabilité pénale était donc présumée entière à ce moment-là (Selon la jurisprudence du Tribunal fédéral, on ne présume une diminution de la responsabilité pénale qu’au-delà de 2 g ‰ ; cf. ATF 122 IV 49 consid. 1b). Lors de cette audition, le prévenu a été informé qu’une enquête était instruite à son endroit et que le procureur avait ordonné une prise de sang. En outre, le prévenu a déclaré avoir compris les droits et obligations contenus dans le formulaire remis, notamment qu’il avait le droit de faire appel à un défenseur. Il a indiqué être apte à suivre cette audition et être disposé à répondre aux questions. Il a ajouté qu’il souhaitait se défendre seul à ce stade (PV aud. 3, p. 2). Cette audition n’est dès lors pas viciée du fait de l’absence d’avocat aux côtés du recourant. X.________ savait qu'il était partie à une procédure pénale et devait donc s'attendre à recevoir un prononcé dans ce cadre-là. Partant, le moyen est infondé.</w:t>
      </w:r>
    </w:p>
    <w:p>
      <w:r>
        <w:rPr>
          <w:b/>
        </w:rPr>
        <w:t>E. 7.1</w:t>
      </w:r>
    </w:p>
    <w:p>
      <w:r>
        <w:t>Le recourant soutient que l’ordonnance pénale n’aurait pas dû être notifiée pendant une période de vacances, féries et fermetures postales.</w:t>
      </w:r>
    </w:p>
    <w:p>
      <w:r>
        <w:rPr>
          <w:b/>
        </w:rPr>
        <w:t>E. 7.2</w:t>
      </w:r>
    </w:p>
    <w:p>
      <w:r>
        <w:t>En l’espèce, l’ordonnance pénale a été remise à la Poste suisse le 16 décembre 2020, soit avant la période de vacances, féries et fermetures postales. Quoi qu’il en soit, la procédure pénale ne connaît pas de féries judiciaires (art. 89 al. 2 CPP). Enfin, le recourant devait s’attendre à la notification d’une ordonnance pénale, ce d’autant plus qu’il avait déjà été condamné à deux reprises par ordonnances pénales des 8 août 2012 et 2 novembre 2015 et qu’il devait savoir à quoi il était exposé. Il incombait par conséquent au recourant de prendre les dispositions nécessaires pour que son courrier lui parvienne ou d’informer les autorités de son absence. Le moyen doit donc être rejeté.</w:t>
      </w:r>
    </w:p>
    <w:p>
      <w:r>
        <w:rPr>
          <w:b/>
        </w:rPr>
        <w:t>E. 8</w:t>
      </w:r>
    </w:p>
    <w:p>
      <w:r>
        <w:t>En définitive, le recours, manifestement mal fondé, doit être rejeté sans échange d’écritures (art. 390 al. 2 CPP) et le prononcé du 15 février 2021 confirmé. Les frais de la procédure de recours, constitués en l'espèce du seul émolument d’arrêt, par 1’320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15 février 2021 est confirmé. III. Les frais d’arrêt, par 1'320 fr. (mille trois cent vingt francs), sont mis à la charge de X.________. IV. L’arrêt est exécutoire. Le président :               La greffière : Du Le présent arrêt, dont la rédaction a été approuvée à huis clos, est notifié, par l'envoi d'une copie complète, à : - Me Tony Donnet-Monay, avocat (pour X.________), - Ministère public central,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